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DD4CB" w14:textId="52B6EA0D" w:rsidR="00AD5BE6" w:rsidRPr="00AD5BE6" w:rsidRDefault="00AD5BE6" w:rsidP="00352F37">
      <w:pPr>
        <w:tabs>
          <w:tab w:val="clear" w:pos="850"/>
          <w:tab w:val="clear" w:pos="1191"/>
          <w:tab w:val="clear" w:pos="1531"/>
        </w:tabs>
        <w:jc w:val="center"/>
        <w:rPr>
          <w:b/>
          <w:color w:val="4E9EB2"/>
        </w:rPr>
      </w:pPr>
      <w:bookmarkStart w:id="0" w:name="_Toc509840537"/>
      <w:r w:rsidRPr="00AD5BE6">
        <w:rPr>
          <w:b/>
          <w:color w:val="4E9EB2"/>
        </w:rPr>
        <w:t xml:space="preserve">Public Consultation on the </w:t>
      </w:r>
    </w:p>
    <w:p w14:paraId="71C94DB4" w14:textId="0F4937C3" w:rsidR="00AD5BE6" w:rsidRPr="00AD5BE6" w:rsidRDefault="00AD5BE6" w:rsidP="00352F37">
      <w:pPr>
        <w:tabs>
          <w:tab w:val="clear" w:pos="850"/>
          <w:tab w:val="clear" w:pos="1191"/>
          <w:tab w:val="clear" w:pos="1531"/>
        </w:tabs>
        <w:jc w:val="center"/>
        <w:rPr>
          <w:b/>
          <w:color w:val="4E9EB2"/>
        </w:rPr>
      </w:pPr>
      <w:proofErr w:type="spellStart"/>
      <w:r w:rsidRPr="00AD5BE6">
        <w:rPr>
          <w:b/>
          <w:color w:val="4E9EB2"/>
        </w:rPr>
        <w:t>Drafe</w:t>
      </w:r>
      <w:proofErr w:type="spellEnd"/>
      <w:r w:rsidRPr="00AD5BE6">
        <w:rPr>
          <w:b/>
          <w:color w:val="4E9EB2"/>
        </w:rPr>
        <w:t xml:space="preserve"> Risk-based approach Guidance for the Life Insurance Sector</w:t>
      </w:r>
    </w:p>
    <w:p w14:paraId="31F7ECEE" w14:textId="77777777" w:rsidR="00AD5BE6" w:rsidRDefault="00AD5BE6" w:rsidP="00352F37">
      <w:pPr>
        <w:tabs>
          <w:tab w:val="clear" w:pos="850"/>
          <w:tab w:val="clear" w:pos="1191"/>
          <w:tab w:val="clear" w:pos="1531"/>
        </w:tabs>
        <w:jc w:val="center"/>
        <w:rPr>
          <w:b/>
          <w:color w:val="548DD4" w:themeColor="text2" w:themeTint="99"/>
        </w:rPr>
      </w:pPr>
    </w:p>
    <w:p w14:paraId="06ECEA64" w14:textId="77777777" w:rsidR="00AD5BE6" w:rsidRDefault="00AD5BE6" w:rsidP="00352F37">
      <w:pPr>
        <w:tabs>
          <w:tab w:val="clear" w:pos="850"/>
          <w:tab w:val="clear" w:pos="1191"/>
          <w:tab w:val="clear" w:pos="1531"/>
        </w:tabs>
        <w:jc w:val="center"/>
        <w:rPr>
          <w:b/>
          <w:color w:val="548DD4" w:themeColor="text2" w:themeTint="99"/>
        </w:rPr>
      </w:pPr>
    </w:p>
    <w:p w14:paraId="49E8BACC" w14:textId="77777777" w:rsidR="00AD5BE6" w:rsidRDefault="00AD5BE6" w:rsidP="00352F37">
      <w:pPr>
        <w:tabs>
          <w:tab w:val="clear" w:pos="850"/>
          <w:tab w:val="clear" w:pos="1191"/>
          <w:tab w:val="clear" w:pos="1531"/>
        </w:tabs>
        <w:jc w:val="center"/>
        <w:rPr>
          <w:b/>
          <w:color w:val="548DD4" w:themeColor="text2" w:themeTint="99"/>
        </w:rPr>
      </w:pPr>
    </w:p>
    <w:p w14:paraId="6E4E2E92" w14:textId="77777777" w:rsidR="00352F37" w:rsidRPr="00B03ED4" w:rsidRDefault="00352F37" w:rsidP="00352F37">
      <w:pPr>
        <w:tabs>
          <w:tab w:val="clear" w:pos="850"/>
          <w:tab w:val="clear" w:pos="1191"/>
          <w:tab w:val="clear" w:pos="1531"/>
        </w:tabs>
        <w:jc w:val="center"/>
        <w:rPr>
          <w:b/>
          <w:color w:val="548DD4" w:themeColor="text2" w:themeTint="99"/>
        </w:rPr>
      </w:pPr>
      <w:r w:rsidRPr="00B03ED4">
        <w:rPr>
          <w:b/>
          <w:color w:val="548DD4" w:themeColor="text2" w:themeTint="99"/>
        </w:rPr>
        <w:t>TABLE OF CONTENTS</w:t>
      </w:r>
    </w:p>
    <w:p w14:paraId="6E4E2E93" w14:textId="77777777" w:rsidR="00352F37" w:rsidRDefault="00352F37" w:rsidP="00352F37">
      <w:pPr>
        <w:tabs>
          <w:tab w:val="clear" w:pos="850"/>
          <w:tab w:val="clear" w:pos="1191"/>
          <w:tab w:val="clear" w:pos="1531"/>
        </w:tabs>
        <w:jc w:val="center"/>
        <w:rPr>
          <w:b/>
        </w:rPr>
      </w:pPr>
    </w:p>
    <w:p w14:paraId="6E4E2E94" w14:textId="77777777" w:rsidR="00352F37" w:rsidRDefault="00352F37" w:rsidP="00352F37">
      <w:pPr>
        <w:tabs>
          <w:tab w:val="clear" w:pos="850"/>
          <w:tab w:val="clear" w:pos="1191"/>
          <w:tab w:val="clear" w:pos="1531"/>
        </w:tabs>
        <w:jc w:val="center"/>
        <w:rPr>
          <w:b/>
        </w:rPr>
      </w:pPr>
    </w:p>
    <w:p w14:paraId="61E4C10F" w14:textId="77777777" w:rsidR="000807C7" w:rsidRDefault="00352F37">
      <w:pPr>
        <w:pStyle w:val="TOC1"/>
        <w:rPr>
          <w:rFonts w:asciiTheme="minorHAnsi" w:eastAsiaTheme="minorEastAsia" w:hAnsiTheme="minorHAnsi" w:cstheme="minorBidi"/>
          <w:b w:val="0"/>
          <w:szCs w:val="22"/>
          <w:lang w:eastAsia="en-GB"/>
        </w:rPr>
      </w:pPr>
      <w:r>
        <w:rPr>
          <w:b w:val="0"/>
        </w:rPr>
        <w:fldChar w:fldCharType="begin"/>
      </w:r>
      <w:r>
        <w:rPr>
          <w:b w:val="0"/>
        </w:rPr>
        <w:instrText xml:space="preserve"> TOC \o "1-3" \h \z \u \t "Heading 7,1" </w:instrText>
      </w:r>
      <w:r>
        <w:rPr>
          <w:b w:val="0"/>
        </w:rPr>
        <w:fldChar w:fldCharType="separate"/>
      </w:r>
      <w:hyperlink w:anchor="_Toc517968020" w:history="1">
        <w:r w:rsidR="000807C7" w:rsidRPr="00085738">
          <w:rPr>
            <w:rStyle w:val="Hyperlink"/>
          </w:rPr>
          <w:t>1. INTRODUCTION</w:t>
        </w:r>
        <w:r w:rsidR="000807C7">
          <w:rPr>
            <w:webHidden/>
          </w:rPr>
          <w:tab/>
        </w:r>
        <w:r w:rsidR="000807C7">
          <w:rPr>
            <w:webHidden/>
          </w:rPr>
          <w:fldChar w:fldCharType="begin"/>
        </w:r>
        <w:r w:rsidR="000807C7">
          <w:rPr>
            <w:webHidden/>
          </w:rPr>
          <w:instrText xml:space="preserve"> PAGEREF _Toc517968020 \h </w:instrText>
        </w:r>
        <w:r w:rsidR="000807C7">
          <w:rPr>
            <w:webHidden/>
          </w:rPr>
        </w:r>
        <w:r w:rsidR="000807C7">
          <w:rPr>
            <w:webHidden/>
          </w:rPr>
          <w:fldChar w:fldCharType="separate"/>
        </w:r>
        <w:r w:rsidR="006E4FC1">
          <w:rPr>
            <w:webHidden/>
          </w:rPr>
          <w:t>6</w:t>
        </w:r>
        <w:r w:rsidR="000807C7">
          <w:rPr>
            <w:webHidden/>
          </w:rPr>
          <w:fldChar w:fldCharType="end"/>
        </w:r>
      </w:hyperlink>
    </w:p>
    <w:p w14:paraId="1FCF4FB1" w14:textId="77777777" w:rsidR="000807C7" w:rsidRDefault="000B07EA">
      <w:pPr>
        <w:pStyle w:val="TOC2"/>
        <w:rPr>
          <w:rFonts w:asciiTheme="minorHAnsi" w:eastAsiaTheme="minorEastAsia" w:hAnsiTheme="minorHAnsi" w:cstheme="minorBidi"/>
          <w:szCs w:val="22"/>
          <w:lang w:eastAsia="en-GB"/>
        </w:rPr>
      </w:pPr>
      <w:hyperlink w:anchor="_Toc517968021" w:history="1">
        <w:r w:rsidR="000807C7" w:rsidRPr="00085738">
          <w:rPr>
            <w:rStyle w:val="Hyperlink"/>
          </w:rPr>
          <w:t>1.1. BACKGROUND AND CONTEXT</w:t>
        </w:r>
        <w:r w:rsidR="000807C7">
          <w:rPr>
            <w:webHidden/>
          </w:rPr>
          <w:tab/>
        </w:r>
        <w:r w:rsidR="000807C7">
          <w:rPr>
            <w:webHidden/>
          </w:rPr>
          <w:fldChar w:fldCharType="begin"/>
        </w:r>
        <w:r w:rsidR="000807C7">
          <w:rPr>
            <w:webHidden/>
          </w:rPr>
          <w:instrText xml:space="preserve"> PAGEREF _Toc517968021 \h </w:instrText>
        </w:r>
        <w:r w:rsidR="000807C7">
          <w:rPr>
            <w:webHidden/>
          </w:rPr>
        </w:r>
        <w:r w:rsidR="000807C7">
          <w:rPr>
            <w:webHidden/>
          </w:rPr>
          <w:fldChar w:fldCharType="separate"/>
        </w:r>
        <w:r w:rsidR="006E4FC1">
          <w:rPr>
            <w:webHidden/>
          </w:rPr>
          <w:t>6</w:t>
        </w:r>
        <w:r w:rsidR="000807C7">
          <w:rPr>
            <w:webHidden/>
          </w:rPr>
          <w:fldChar w:fldCharType="end"/>
        </w:r>
      </w:hyperlink>
    </w:p>
    <w:p w14:paraId="6F30FAB6" w14:textId="77777777" w:rsidR="000807C7" w:rsidRDefault="000B07EA">
      <w:pPr>
        <w:pStyle w:val="TOC2"/>
        <w:rPr>
          <w:rFonts w:asciiTheme="minorHAnsi" w:eastAsiaTheme="minorEastAsia" w:hAnsiTheme="minorHAnsi" w:cstheme="minorBidi"/>
          <w:szCs w:val="22"/>
          <w:lang w:eastAsia="en-GB"/>
        </w:rPr>
      </w:pPr>
      <w:hyperlink w:anchor="_Toc517968022" w:history="1">
        <w:r w:rsidR="000807C7" w:rsidRPr="00085738">
          <w:rPr>
            <w:rStyle w:val="Hyperlink"/>
          </w:rPr>
          <w:t>1.2. PURPOSE OF THIS GUIDANCE</w:t>
        </w:r>
        <w:r w:rsidR="000807C7">
          <w:rPr>
            <w:webHidden/>
          </w:rPr>
          <w:tab/>
        </w:r>
        <w:r w:rsidR="000807C7">
          <w:rPr>
            <w:webHidden/>
          </w:rPr>
          <w:fldChar w:fldCharType="begin"/>
        </w:r>
        <w:r w:rsidR="000807C7">
          <w:rPr>
            <w:webHidden/>
          </w:rPr>
          <w:instrText xml:space="preserve"> PAGEREF _Toc517968022 \h </w:instrText>
        </w:r>
        <w:r w:rsidR="000807C7">
          <w:rPr>
            <w:webHidden/>
          </w:rPr>
        </w:r>
        <w:r w:rsidR="000807C7">
          <w:rPr>
            <w:webHidden/>
          </w:rPr>
          <w:fldChar w:fldCharType="separate"/>
        </w:r>
        <w:r w:rsidR="006E4FC1">
          <w:rPr>
            <w:webHidden/>
          </w:rPr>
          <w:t>7</w:t>
        </w:r>
        <w:r w:rsidR="000807C7">
          <w:rPr>
            <w:webHidden/>
          </w:rPr>
          <w:fldChar w:fldCharType="end"/>
        </w:r>
      </w:hyperlink>
    </w:p>
    <w:p w14:paraId="450F07E9" w14:textId="77777777" w:rsidR="000807C7" w:rsidRDefault="000B07EA">
      <w:pPr>
        <w:pStyle w:val="TOC2"/>
        <w:rPr>
          <w:rFonts w:asciiTheme="minorHAnsi" w:eastAsiaTheme="minorEastAsia" w:hAnsiTheme="minorHAnsi" w:cstheme="minorBidi"/>
          <w:szCs w:val="22"/>
          <w:lang w:eastAsia="en-GB"/>
        </w:rPr>
      </w:pPr>
      <w:hyperlink w:anchor="_Toc517968023" w:history="1">
        <w:r w:rsidR="000807C7" w:rsidRPr="00085738">
          <w:rPr>
            <w:rStyle w:val="Hyperlink"/>
          </w:rPr>
          <w:t>1.3. TARGET AUDIENCE, STATUS AND CONTENT OF THE GUIDANCE</w:t>
        </w:r>
        <w:r w:rsidR="000807C7">
          <w:rPr>
            <w:webHidden/>
          </w:rPr>
          <w:tab/>
        </w:r>
        <w:r w:rsidR="000807C7">
          <w:rPr>
            <w:webHidden/>
          </w:rPr>
          <w:fldChar w:fldCharType="begin"/>
        </w:r>
        <w:r w:rsidR="000807C7">
          <w:rPr>
            <w:webHidden/>
          </w:rPr>
          <w:instrText xml:space="preserve"> PAGEREF _Toc517968023 \h </w:instrText>
        </w:r>
        <w:r w:rsidR="000807C7">
          <w:rPr>
            <w:webHidden/>
          </w:rPr>
        </w:r>
        <w:r w:rsidR="000807C7">
          <w:rPr>
            <w:webHidden/>
          </w:rPr>
          <w:fldChar w:fldCharType="separate"/>
        </w:r>
        <w:r w:rsidR="006E4FC1">
          <w:rPr>
            <w:webHidden/>
          </w:rPr>
          <w:t>7</w:t>
        </w:r>
        <w:r w:rsidR="000807C7">
          <w:rPr>
            <w:webHidden/>
          </w:rPr>
          <w:fldChar w:fldCharType="end"/>
        </w:r>
      </w:hyperlink>
    </w:p>
    <w:p w14:paraId="6CAF4FC8" w14:textId="77777777" w:rsidR="000807C7" w:rsidRDefault="000B07EA">
      <w:pPr>
        <w:pStyle w:val="TOC2"/>
        <w:rPr>
          <w:rFonts w:asciiTheme="minorHAnsi" w:eastAsiaTheme="minorEastAsia" w:hAnsiTheme="minorHAnsi" w:cstheme="minorBidi"/>
          <w:szCs w:val="22"/>
          <w:lang w:eastAsia="en-GB"/>
        </w:rPr>
      </w:pPr>
      <w:hyperlink w:anchor="_Toc517968024" w:history="1">
        <w:r w:rsidR="000807C7" w:rsidRPr="00085738">
          <w:rPr>
            <w:rStyle w:val="Hyperlink"/>
          </w:rPr>
          <w:t>1.4. TERMINOLOGY AND KEY FEATURES OF THE LIFE INSURANCE SECTOR RELEVANT FOR AML/CFT</w:t>
        </w:r>
        <w:r w:rsidR="000807C7">
          <w:rPr>
            <w:webHidden/>
          </w:rPr>
          <w:tab/>
        </w:r>
        <w:r w:rsidR="000807C7">
          <w:rPr>
            <w:webHidden/>
          </w:rPr>
          <w:fldChar w:fldCharType="begin"/>
        </w:r>
        <w:r w:rsidR="000807C7">
          <w:rPr>
            <w:webHidden/>
          </w:rPr>
          <w:instrText xml:space="preserve"> PAGEREF _Toc517968024 \h </w:instrText>
        </w:r>
        <w:r w:rsidR="000807C7">
          <w:rPr>
            <w:webHidden/>
          </w:rPr>
        </w:r>
        <w:r w:rsidR="000807C7">
          <w:rPr>
            <w:webHidden/>
          </w:rPr>
          <w:fldChar w:fldCharType="separate"/>
        </w:r>
        <w:r w:rsidR="006E4FC1">
          <w:rPr>
            <w:webHidden/>
          </w:rPr>
          <w:t>8</w:t>
        </w:r>
        <w:r w:rsidR="000807C7">
          <w:rPr>
            <w:webHidden/>
          </w:rPr>
          <w:fldChar w:fldCharType="end"/>
        </w:r>
      </w:hyperlink>
    </w:p>
    <w:p w14:paraId="1C949934" w14:textId="77777777" w:rsidR="000807C7" w:rsidRDefault="000B07EA">
      <w:pPr>
        <w:pStyle w:val="TOC3"/>
        <w:rPr>
          <w:rFonts w:asciiTheme="minorHAnsi" w:eastAsiaTheme="minorEastAsia" w:hAnsiTheme="minorHAnsi" w:cstheme="minorBidi"/>
          <w:szCs w:val="22"/>
          <w:lang w:eastAsia="en-GB"/>
        </w:rPr>
      </w:pPr>
      <w:hyperlink w:anchor="_Toc517968025" w:history="1">
        <w:r w:rsidR="000807C7" w:rsidRPr="00085738">
          <w:rPr>
            <w:rStyle w:val="Hyperlink"/>
          </w:rPr>
          <w:t>1.4.1. Life insurance products and other investment-related insurance products</w:t>
        </w:r>
        <w:r w:rsidR="000807C7">
          <w:rPr>
            <w:webHidden/>
          </w:rPr>
          <w:tab/>
        </w:r>
        <w:r w:rsidR="000807C7">
          <w:rPr>
            <w:webHidden/>
          </w:rPr>
          <w:fldChar w:fldCharType="begin"/>
        </w:r>
        <w:r w:rsidR="000807C7">
          <w:rPr>
            <w:webHidden/>
          </w:rPr>
          <w:instrText xml:space="preserve"> PAGEREF _Toc517968025 \h </w:instrText>
        </w:r>
        <w:r w:rsidR="000807C7">
          <w:rPr>
            <w:webHidden/>
          </w:rPr>
        </w:r>
        <w:r w:rsidR="000807C7">
          <w:rPr>
            <w:webHidden/>
          </w:rPr>
          <w:fldChar w:fldCharType="separate"/>
        </w:r>
        <w:r w:rsidR="006E4FC1">
          <w:rPr>
            <w:webHidden/>
          </w:rPr>
          <w:t>8</w:t>
        </w:r>
        <w:r w:rsidR="000807C7">
          <w:rPr>
            <w:webHidden/>
          </w:rPr>
          <w:fldChar w:fldCharType="end"/>
        </w:r>
      </w:hyperlink>
    </w:p>
    <w:p w14:paraId="0BC628F3" w14:textId="77777777" w:rsidR="000807C7" w:rsidRDefault="000B07EA">
      <w:pPr>
        <w:pStyle w:val="TOC3"/>
      </w:pPr>
      <w:hyperlink w:anchor="_Toc517968026" w:history="1">
        <w:r w:rsidR="000807C7" w:rsidRPr="00085738">
          <w:rPr>
            <w:rStyle w:val="Hyperlink"/>
          </w:rPr>
          <w:t>1.4.2. Insurance distribution channels and intermediaries</w:t>
        </w:r>
        <w:r w:rsidR="000807C7">
          <w:rPr>
            <w:webHidden/>
          </w:rPr>
          <w:tab/>
        </w:r>
        <w:r w:rsidR="000807C7">
          <w:rPr>
            <w:webHidden/>
          </w:rPr>
          <w:fldChar w:fldCharType="begin"/>
        </w:r>
        <w:r w:rsidR="000807C7">
          <w:rPr>
            <w:webHidden/>
          </w:rPr>
          <w:instrText xml:space="preserve"> PAGEREF _Toc517968026 \h </w:instrText>
        </w:r>
        <w:r w:rsidR="000807C7">
          <w:rPr>
            <w:webHidden/>
          </w:rPr>
        </w:r>
        <w:r w:rsidR="000807C7">
          <w:rPr>
            <w:webHidden/>
          </w:rPr>
          <w:fldChar w:fldCharType="separate"/>
        </w:r>
        <w:r w:rsidR="006E4FC1">
          <w:rPr>
            <w:webHidden/>
          </w:rPr>
          <w:t>11</w:t>
        </w:r>
        <w:r w:rsidR="000807C7">
          <w:rPr>
            <w:webHidden/>
          </w:rPr>
          <w:fldChar w:fldCharType="end"/>
        </w:r>
      </w:hyperlink>
    </w:p>
    <w:p w14:paraId="24D13B2D" w14:textId="2EF10599" w:rsidR="005534CF" w:rsidRPr="005534CF" w:rsidRDefault="005534CF" w:rsidP="005534CF">
      <w:pPr>
        <w:rPr>
          <w:b/>
        </w:rPr>
      </w:pPr>
      <w:r w:rsidRPr="005534CF">
        <w:rPr>
          <w:b/>
        </w:rPr>
        <w:t>S</w:t>
      </w:r>
      <w:r>
        <w:rPr>
          <w:b/>
        </w:rPr>
        <w:t>ECTION</w:t>
      </w:r>
      <w:r w:rsidRPr="005534CF">
        <w:rPr>
          <w:b/>
        </w:rPr>
        <w:t xml:space="preserve"> I</w:t>
      </w:r>
      <w:r>
        <w:rPr>
          <w:b/>
        </w:rPr>
        <w:t xml:space="preserve"> THE FATF'S RISK-BASED APPROACH (RBA) to AML/CFT</w:t>
      </w:r>
    </w:p>
    <w:p w14:paraId="4C1DA993" w14:textId="77777777" w:rsidR="000807C7" w:rsidRDefault="000B07EA">
      <w:pPr>
        <w:pStyle w:val="TOC1"/>
        <w:rPr>
          <w:rFonts w:asciiTheme="minorHAnsi" w:eastAsiaTheme="minorEastAsia" w:hAnsiTheme="minorHAnsi" w:cstheme="minorBidi"/>
          <w:b w:val="0"/>
          <w:szCs w:val="22"/>
          <w:lang w:eastAsia="en-GB"/>
        </w:rPr>
      </w:pPr>
      <w:hyperlink w:anchor="_Toc517968027" w:history="1">
        <w:r w:rsidR="000807C7" w:rsidRPr="00085738">
          <w:rPr>
            <w:rStyle w:val="Hyperlink"/>
          </w:rPr>
          <w:t>2. WHAT IS THE RBA?</w:t>
        </w:r>
        <w:r w:rsidR="000807C7">
          <w:rPr>
            <w:webHidden/>
          </w:rPr>
          <w:tab/>
        </w:r>
        <w:r w:rsidR="000807C7">
          <w:rPr>
            <w:webHidden/>
          </w:rPr>
          <w:fldChar w:fldCharType="begin"/>
        </w:r>
        <w:r w:rsidR="000807C7">
          <w:rPr>
            <w:webHidden/>
          </w:rPr>
          <w:instrText xml:space="preserve"> PAGEREF _Toc517968027 \h </w:instrText>
        </w:r>
        <w:r w:rsidR="000807C7">
          <w:rPr>
            <w:webHidden/>
          </w:rPr>
        </w:r>
        <w:r w:rsidR="000807C7">
          <w:rPr>
            <w:webHidden/>
          </w:rPr>
          <w:fldChar w:fldCharType="separate"/>
        </w:r>
        <w:r w:rsidR="006E4FC1">
          <w:rPr>
            <w:webHidden/>
          </w:rPr>
          <w:t>12</w:t>
        </w:r>
        <w:r w:rsidR="000807C7">
          <w:rPr>
            <w:webHidden/>
          </w:rPr>
          <w:fldChar w:fldCharType="end"/>
        </w:r>
      </w:hyperlink>
    </w:p>
    <w:p w14:paraId="28FF4831" w14:textId="77777777" w:rsidR="000807C7" w:rsidRDefault="000B07EA">
      <w:pPr>
        <w:pStyle w:val="TOC1"/>
        <w:rPr>
          <w:rFonts w:asciiTheme="minorHAnsi" w:eastAsiaTheme="minorEastAsia" w:hAnsiTheme="minorHAnsi" w:cstheme="minorBidi"/>
          <w:b w:val="0"/>
          <w:szCs w:val="22"/>
          <w:lang w:eastAsia="en-GB"/>
        </w:rPr>
      </w:pPr>
      <w:hyperlink w:anchor="_Toc517968028" w:history="1">
        <w:r w:rsidR="000807C7" w:rsidRPr="00085738">
          <w:rPr>
            <w:rStyle w:val="Hyperlink"/>
          </w:rPr>
          <w:t>3. THE RATIONALE FOR A NEW APPROACH</w:t>
        </w:r>
        <w:r w:rsidR="000807C7">
          <w:rPr>
            <w:webHidden/>
          </w:rPr>
          <w:tab/>
        </w:r>
        <w:r w:rsidR="000807C7">
          <w:rPr>
            <w:webHidden/>
          </w:rPr>
          <w:fldChar w:fldCharType="begin"/>
        </w:r>
        <w:r w:rsidR="000807C7">
          <w:rPr>
            <w:webHidden/>
          </w:rPr>
          <w:instrText xml:space="preserve"> PAGEREF _Toc517968028 \h </w:instrText>
        </w:r>
        <w:r w:rsidR="000807C7">
          <w:rPr>
            <w:webHidden/>
          </w:rPr>
        </w:r>
        <w:r w:rsidR="000807C7">
          <w:rPr>
            <w:webHidden/>
          </w:rPr>
          <w:fldChar w:fldCharType="separate"/>
        </w:r>
        <w:r w:rsidR="006E4FC1">
          <w:rPr>
            <w:webHidden/>
          </w:rPr>
          <w:t>13</w:t>
        </w:r>
        <w:r w:rsidR="000807C7">
          <w:rPr>
            <w:webHidden/>
          </w:rPr>
          <w:fldChar w:fldCharType="end"/>
        </w:r>
      </w:hyperlink>
    </w:p>
    <w:p w14:paraId="648146D5" w14:textId="77777777" w:rsidR="000807C7" w:rsidRDefault="000B07EA">
      <w:pPr>
        <w:pStyle w:val="TOC1"/>
        <w:rPr>
          <w:rFonts w:asciiTheme="minorHAnsi" w:eastAsiaTheme="minorEastAsia" w:hAnsiTheme="minorHAnsi" w:cstheme="minorBidi"/>
          <w:b w:val="0"/>
          <w:szCs w:val="22"/>
          <w:lang w:eastAsia="en-GB"/>
        </w:rPr>
      </w:pPr>
      <w:hyperlink w:anchor="_Toc517968029" w:history="1">
        <w:r w:rsidR="000807C7" w:rsidRPr="00085738">
          <w:rPr>
            <w:rStyle w:val="Hyperlink"/>
          </w:rPr>
          <w:t>4. APPLICATION OF THE RISK-BASED APPROACH</w:t>
        </w:r>
        <w:r w:rsidR="000807C7">
          <w:rPr>
            <w:webHidden/>
          </w:rPr>
          <w:tab/>
        </w:r>
        <w:r w:rsidR="000807C7">
          <w:rPr>
            <w:webHidden/>
          </w:rPr>
          <w:fldChar w:fldCharType="begin"/>
        </w:r>
        <w:r w:rsidR="000807C7">
          <w:rPr>
            <w:webHidden/>
          </w:rPr>
          <w:instrText xml:space="preserve"> PAGEREF _Toc517968029 \h </w:instrText>
        </w:r>
        <w:r w:rsidR="000807C7">
          <w:rPr>
            <w:webHidden/>
          </w:rPr>
        </w:r>
        <w:r w:rsidR="000807C7">
          <w:rPr>
            <w:webHidden/>
          </w:rPr>
          <w:fldChar w:fldCharType="separate"/>
        </w:r>
        <w:r w:rsidR="006E4FC1">
          <w:rPr>
            <w:webHidden/>
          </w:rPr>
          <w:t>14</w:t>
        </w:r>
        <w:r w:rsidR="000807C7">
          <w:rPr>
            <w:webHidden/>
          </w:rPr>
          <w:fldChar w:fldCharType="end"/>
        </w:r>
      </w:hyperlink>
    </w:p>
    <w:p w14:paraId="4E873AB6" w14:textId="77777777" w:rsidR="000807C7" w:rsidRDefault="000B07EA">
      <w:pPr>
        <w:pStyle w:val="TOC1"/>
        <w:rPr>
          <w:rFonts w:asciiTheme="minorHAnsi" w:eastAsiaTheme="minorEastAsia" w:hAnsiTheme="minorHAnsi" w:cstheme="minorBidi"/>
          <w:b w:val="0"/>
          <w:szCs w:val="22"/>
          <w:lang w:eastAsia="en-GB"/>
        </w:rPr>
      </w:pPr>
      <w:hyperlink w:anchor="_Toc517968030" w:history="1">
        <w:r w:rsidR="000807C7" w:rsidRPr="00085738">
          <w:rPr>
            <w:rStyle w:val="Hyperlink"/>
          </w:rPr>
          <w:t>5. CHALLENGES AND METHODOLOGY FOR AN EFFECTIVE RBA</w:t>
        </w:r>
        <w:r w:rsidR="000807C7">
          <w:rPr>
            <w:webHidden/>
          </w:rPr>
          <w:tab/>
        </w:r>
        <w:r w:rsidR="000807C7">
          <w:rPr>
            <w:webHidden/>
          </w:rPr>
          <w:fldChar w:fldCharType="begin"/>
        </w:r>
        <w:r w:rsidR="000807C7">
          <w:rPr>
            <w:webHidden/>
          </w:rPr>
          <w:instrText xml:space="preserve"> PAGEREF _Toc517968030 \h </w:instrText>
        </w:r>
        <w:r w:rsidR="000807C7">
          <w:rPr>
            <w:webHidden/>
          </w:rPr>
        </w:r>
        <w:r w:rsidR="000807C7">
          <w:rPr>
            <w:webHidden/>
          </w:rPr>
          <w:fldChar w:fldCharType="separate"/>
        </w:r>
        <w:r w:rsidR="006E4FC1">
          <w:rPr>
            <w:webHidden/>
          </w:rPr>
          <w:t>14</w:t>
        </w:r>
        <w:r w:rsidR="000807C7">
          <w:rPr>
            <w:webHidden/>
          </w:rPr>
          <w:fldChar w:fldCharType="end"/>
        </w:r>
      </w:hyperlink>
    </w:p>
    <w:p w14:paraId="34E43016" w14:textId="77777777" w:rsidR="000807C7" w:rsidRDefault="000B07EA">
      <w:pPr>
        <w:pStyle w:val="TOC2"/>
        <w:rPr>
          <w:rFonts w:asciiTheme="minorHAnsi" w:eastAsiaTheme="minorEastAsia" w:hAnsiTheme="minorHAnsi" w:cstheme="minorBidi"/>
          <w:szCs w:val="22"/>
          <w:lang w:eastAsia="en-GB"/>
        </w:rPr>
      </w:pPr>
      <w:hyperlink w:anchor="_Toc517968031" w:history="1">
        <w:r w:rsidR="000807C7" w:rsidRPr="00085738">
          <w:rPr>
            <w:rStyle w:val="Hyperlink"/>
          </w:rPr>
          <w:t>5.1. Allocating responsibility under a RBA</w:t>
        </w:r>
        <w:r w:rsidR="000807C7">
          <w:rPr>
            <w:webHidden/>
          </w:rPr>
          <w:tab/>
        </w:r>
        <w:r w:rsidR="000807C7">
          <w:rPr>
            <w:webHidden/>
          </w:rPr>
          <w:fldChar w:fldCharType="begin"/>
        </w:r>
        <w:r w:rsidR="000807C7">
          <w:rPr>
            <w:webHidden/>
          </w:rPr>
          <w:instrText xml:space="preserve"> PAGEREF _Toc517968031 \h </w:instrText>
        </w:r>
        <w:r w:rsidR="000807C7">
          <w:rPr>
            <w:webHidden/>
          </w:rPr>
        </w:r>
        <w:r w:rsidR="000807C7">
          <w:rPr>
            <w:webHidden/>
          </w:rPr>
          <w:fldChar w:fldCharType="separate"/>
        </w:r>
        <w:r w:rsidR="006E4FC1">
          <w:rPr>
            <w:webHidden/>
          </w:rPr>
          <w:t>14</w:t>
        </w:r>
        <w:r w:rsidR="000807C7">
          <w:rPr>
            <w:webHidden/>
          </w:rPr>
          <w:fldChar w:fldCharType="end"/>
        </w:r>
      </w:hyperlink>
    </w:p>
    <w:p w14:paraId="311578E9" w14:textId="77777777" w:rsidR="000807C7" w:rsidRDefault="000B07EA">
      <w:pPr>
        <w:pStyle w:val="TOC3"/>
        <w:rPr>
          <w:rFonts w:asciiTheme="minorHAnsi" w:eastAsiaTheme="minorEastAsia" w:hAnsiTheme="minorHAnsi" w:cstheme="minorBidi"/>
          <w:szCs w:val="22"/>
          <w:lang w:eastAsia="en-GB"/>
        </w:rPr>
      </w:pPr>
      <w:hyperlink w:anchor="_Toc517968032" w:history="1">
        <w:r w:rsidR="000807C7" w:rsidRPr="00085738">
          <w:rPr>
            <w:rStyle w:val="Hyperlink"/>
          </w:rPr>
          <w:t>5.1.1. Identifying ML/TF risk</w:t>
        </w:r>
        <w:r w:rsidR="000807C7">
          <w:rPr>
            <w:webHidden/>
          </w:rPr>
          <w:tab/>
        </w:r>
        <w:r w:rsidR="000807C7">
          <w:rPr>
            <w:webHidden/>
          </w:rPr>
          <w:fldChar w:fldCharType="begin"/>
        </w:r>
        <w:r w:rsidR="000807C7">
          <w:rPr>
            <w:webHidden/>
          </w:rPr>
          <w:instrText xml:space="preserve"> PAGEREF _Toc517968032 \h </w:instrText>
        </w:r>
        <w:r w:rsidR="000807C7">
          <w:rPr>
            <w:webHidden/>
          </w:rPr>
        </w:r>
        <w:r w:rsidR="000807C7">
          <w:rPr>
            <w:webHidden/>
          </w:rPr>
          <w:fldChar w:fldCharType="separate"/>
        </w:r>
        <w:r w:rsidR="006E4FC1">
          <w:rPr>
            <w:webHidden/>
          </w:rPr>
          <w:t>15</w:t>
        </w:r>
        <w:r w:rsidR="000807C7">
          <w:rPr>
            <w:webHidden/>
          </w:rPr>
          <w:fldChar w:fldCharType="end"/>
        </w:r>
      </w:hyperlink>
    </w:p>
    <w:p w14:paraId="1FCC4FF9" w14:textId="77777777" w:rsidR="000807C7" w:rsidRDefault="000B07EA">
      <w:pPr>
        <w:pStyle w:val="TOC3"/>
        <w:rPr>
          <w:rFonts w:asciiTheme="minorHAnsi" w:eastAsiaTheme="minorEastAsia" w:hAnsiTheme="minorHAnsi" w:cstheme="minorBidi"/>
          <w:szCs w:val="22"/>
          <w:lang w:eastAsia="en-GB"/>
        </w:rPr>
      </w:pPr>
      <w:hyperlink w:anchor="_Toc517968033" w:history="1">
        <w:r w:rsidR="000807C7" w:rsidRPr="00085738">
          <w:rPr>
            <w:rStyle w:val="Hyperlink"/>
          </w:rPr>
          <w:t>5.1.2. Assessing ML/TF risk</w:t>
        </w:r>
        <w:r w:rsidR="000807C7">
          <w:rPr>
            <w:webHidden/>
          </w:rPr>
          <w:tab/>
        </w:r>
        <w:r w:rsidR="000807C7">
          <w:rPr>
            <w:webHidden/>
          </w:rPr>
          <w:fldChar w:fldCharType="begin"/>
        </w:r>
        <w:r w:rsidR="000807C7">
          <w:rPr>
            <w:webHidden/>
          </w:rPr>
          <w:instrText xml:space="preserve"> PAGEREF _Toc517968033 \h </w:instrText>
        </w:r>
        <w:r w:rsidR="000807C7">
          <w:rPr>
            <w:webHidden/>
          </w:rPr>
        </w:r>
        <w:r w:rsidR="000807C7">
          <w:rPr>
            <w:webHidden/>
          </w:rPr>
          <w:fldChar w:fldCharType="separate"/>
        </w:r>
        <w:r w:rsidR="006E4FC1">
          <w:rPr>
            <w:webHidden/>
          </w:rPr>
          <w:t>16</w:t>
        </w:r>
        <w:r w:rsidR="000807C7">
          <w:rPr>
            <w:webHidden/>
          </w:rPr>
          <w:fldChar w:fldCharType="end"/>
        </w:r>
      </w:hyperlink>
    </w:p>
    <w:p w14:paraId="7C24C850" w14:textId="77777777" w:rsidR="000807C7" w:rsidRDefault="000B07EA">
      <w:pPr>
        <w:pStyle w:val="TOC3"/>
        <w:rPr>
          <w:rFonts w:asciiTheme="minorHAnsi" w:eastAsiaTheme="minorEastAsia" w:hAnsiTheme="minorHAnsi" w:cstheme="minorBidi"/>
          <w:szCs w:val="22"/>
          <w:lang w:eastAsia="en-GB"/>
        </w:rPr>
      </w:pPr>
      <w:hyperlink w:anchor="_Toc517968034" w:history="1">
        <w:r w:rsidR="000807C7" w:rsidRPr="00085738">
          <w:rPr>
            <w:rStyle w:val="Hyperlink"/>
          </w:rPr>
          <w:t>5.1.3. Mitigating ML/TF risk</w:t>
        </w:r>
        <w:r w:rsidR="000807C7">
          <w:rPr>
            <w:webHidden/>
          </w:rPr>
          <w:tab/>
        </w:r>
        <w:r w:rsidR="000807C7">
          <w:rPr>
            <w:webHidden/>
          </w:rPr>
          <w:fldChar w:fldCharType="begin"/>
        </w:r>
        <w:r w:rsidR="000807C7">
          <w:rPr>
            <w:webHidden/>
          </w:rPr>
          <w:instrText xml:space="preserve"> PAGEREF _Toc517968034 \h </w:instrText>
        </w:r>
        <w:r w:rsidR="000807C7">
          <w:rPr>
            <w:webHidden/>
          </w:rPr>
        </w:r>
        <w:r w:rsidR="000807C7">
          <w:rPr>
            <w:webHidden/>
          </w:rPr>
          <w:fldChar w:fldCharType="separate"/>
        </w:r>
        <w:r w:rsidR="006E4FC1">
          <w:rPr>
            <w:webHidden/>
          </w:rPr>
          <w:t>16</w:t>
        </w:r>
        <w:r w:rsidR="000807C7">
          <w:rPr>
            <w:webHidden/>
          </w:rPr>
          <w:fldChar w:fldCharType="end"/>
        </w:r>
      </w:hyperlink>
    </w:p>
    <w:p w14:paraId="2A25A27E" w14:textId="77777777" w:rsidR="000807C7" w:rsidRDefault="000B07EA">
      <w:pPr>
        <w:pStyle w:val="TOC3"/>
        <w:rPr>
          <w:rFonts w:asciiTheme="minorHAnsi" w:eastAsiaTheme="minorEastAsia" w:hAnsiTheme="minorHAnsi" w:cstheme="minorBidi"/>
          <w:szCs w:val="22"/>
          <w:lang w:eastAsia="en-GB"/>
        </w:rPr>
      </w:pPr>
      <w:hyperlink w:anchor="_Toc517968035" w:history="1">
        <w:r w:rsidR="000807C7" w:rsidRPr="00085738">
          <w:rPr>
            <w:rStyle w:val="Hyperlink"/>
          </w:rPr>
          <w:t>5.1.4. Developing a common understanding of the RBA</w:t>
        </w:r>
        <w:r w:rsidR="000807C7">
          <w:rPr>
            <w:webHidden/>
          </w:rPr>
          <w:tab/>
        </w:r>
        <w:r w:rsidR="000807C7">
          <w:rPr>
            <w:webHidden/>
          </w:rPr>
          <w:fldChar w:fldCharType="begin"/>
        </w:r>
        <w:r w:rsidR="000807C7">
          <w:rPr>
            <w:webHidden/>
          </w:rPr>
          <w:instrText xml:space="preserve"> PAGEREF _Toc517968035 \h </w:instrText>
        </w:r>
        <w:r w:rsidR="000807C7">
          <w:rPr>
            <w:webHidden/>
          </w:rPr>
        </w:r>
        <w:r w:rsidR="000807C7">
          <w:rPr>
            <w:webHidden/>
          </w:rPr>
          <w:fldChar w:fldCharType="separate"/>
        </w:r>
        <w:r w:rsidR="006E4FC1">
          <w:rPr>
            <w:webHidden/>
          </w:rPr>
          <w:t>17</w:t>
        </w:r>
        <w:r w:rsidR="000807C7">
          <w:rPr>
            <w:webHidden/>
          </w:rPr>
          <w:fldChar w:fldCharType="end"/>
        </w:r>
      </w:hyperlink>
    </w:p>
    <w:p w14:paraId="00D79850" w14:textId="77777777" w:rsidR="000807C7" w:rsidRDefault="000B07EA">
      <w:pPr>
        <w:pStyle w:val="TOC2"/>
        <w:rPr>
          <w:rFonts w:asciiTheme="minorHAnsi" w:eastAsiaTheme="minorEastAsia" w:hAnsiTheme="minorHAnsi" w:cstheme="minorBidi"/>
          <w:szCs w:val="22"/>
          <w:lang w:eastAsia="en-GB"/>
        </w:rPr>
      </w:pPr>
      <w:hyperlink w:anchor="_Toc517968036" w:history="1">
        <w:r w:rsidR="000807C7" w:rsidRPr="00085738">
          <w:rPr>
            <w:rStyle w:val="Hyperlink"/>
          </w:rPr>
          <w:t>5.2. Financial inclusion</w:t>
        </w:r>
        <w:r w:rsidR="000807C7">
          <w:rPr>
            <w:webHidden/>
          </w:rPr>
          <w:tab/>
        </w:r>
        <w:r w:rsidR="000807C7">
          <w:rPr>
            <w:webHidden/>
          </w:rPr>
          <w:fldChar w:fldCharType="begin"/>
        </w:r>
        <w:r w:rsidR="000807C7">
          <w:rPr>
            <w:webHidden/>
          </w:rPr>
          <w:instrText xml:space="preserve"> PAGEREF _Toc517968036 \h </w:instrText>
        </w:r>
        <w:r w:rsidR="000807C7">
          <w:rPr>
            <w:webHidden/>
          </w:rPr>
        </w:r>
        <w:r w:rsidR="000807C7">
          <w:rPr>
            <w:webHidden/>
          </w:rPr>
          <w:fldChar w:fldCharType="separate"/>
        </w:r>
        <w:r w:rsidR="006E4FC1">
          <w:rPr>
            <w:webHidden/>
          </w:rPr>
          <w:t>17</w:t>
        </w:r>
        <w:r w:rsidR="000807C7">
          <w:rPr>
            <w:webHidden/>
          </w:rPr>
          <w:fldChar w:fldCharType="end"/>
        </w:r>
      </w:hyperlink>
    </w:p>
    <w:p w14:paraId="4CAE4340" w14:textId="6A64B594" w:rsidR="005534CF" w:rsidRPr="005534CF" w:rsidRDefault="005534CF" w:rsidP="005534CF">
      <w:pPr>
        <w:rPr>
          <w:b/>
        </w:rPr>
      </w:pPr>
      <w:r w:rsidRPr="005534CF">
        <w:rPr>
          <w:b/>
        </w:rPr>
        <w:t>S</w:t>
      </w:r>
      <w:r>
        <w:rPr>
          <w:b/>
        </w:rPr>
        <w:t>ECTION</w:t>
      </w:r>
      <w:r w:rsidRPr="005534CF">
        <w:rPr>
          <w:b/>
        </w:rPr>
        <w:t xml:space="preserve"> I</w:t>
      </w:r>
      <w:r>
        <w:rPr>
          <w:b/>
        </w:rPr>
        <w:t xml:space="preserve">I GUIDANCE FOR PRIVATE SECTOR </w:t>
      </w:r>
    </w:p>
    <w:p w14:paraId="69FAF50D" w14:textId="77777777" w:rsidR="000807C7" w:rsidRDefault="000B07EA">
      <w:pPr>
        <w:pStyle w:val="TOC1"/>
        <w:rPr>
          <w:rFonts w:asciiTheme="minorHAnsi" w:eastAsiaTheme="minorEastAsia" w:hAnsiTheme="minorHAnsi" w:cstheme="minorBidi"/>
          <w:b w:val="0"/>
          <w:szCs w:val="22"/>
          <w:lang w:eastAsia="en-GB"/>
        </w:rPr>
      </w:pPr>
      <w:hyperlink w:anchor="_Toc517968037" w:history="1">
        <w:r w:rsidR="000807C7" w:rsidRPr="00085738">
          <w:rPr>
            <w:rStyle w:val="Hyperlink"/>
          </w:rPr>
          <w:t>6. RISK ASSESSMENT</w:t>
        </w:r>
        <w:r w:rsidR="000807C7">
          <w:rPr>
            <w:webHidden/>
          </w:rPr>
          <w:tab/>
        </w:r>
        <w:r w:rsidR="000807C7">
          <w:rPr>
            <w:webHidden/>
          </w:rPr>
          <w:fldChar w:fldCharType="begin"/>
        </w:r>
        <w:r w:rsidR="000807C7">
          <w:rPr>
            <w:webHidden/>
          </w:rPr>
          <w:instrText xml:space="preserve"> PAGEREF _Toc517968037 \h </w:instrText>
        </w:r>
        <w:r w:rsidR="000807C7">
          <w:rPr>
            <w:webHidden/>
          </w:rPr>
        </w:r>
        <w:r w:rsidR="000807C7">
          <w:rPr>
            <w:webHidden/>
          </w:rPr>
          <w:fldChar w:fldCharType="separate"/>
        </w:r>
        <w:r w:rsidR="006E4FC1">
          <w:rPr>
            <w:webHidden/>
          </w:rPr>
          <w:t>18</w:t>
        </w:r>
        <w:r w:rsidR="000807C7">
          <w:rPr>
            <w:webHidden/>
          </w:rPr>
          <w:fldChar w:fldCharType="end"/>
        </w:r>
      </w:hyperlink>
    </w:p>
    <w:p w14:paraId="5B97D235" w14:textId="77777777" w:rsidR="000807C7" w:rsidRDefault="000B07EA">
      <w:pPr>
        <w:pStyle w:val="TOC1"/>
        <w:rPr>
          <w:rFonts w:asciiTheme="minorHAnsi" w:eastAsiaTheme="minorEastAsia" w:hAnsiTheme="minorHAnsi" w:cstheme="minorBidi"/>
          <w:b w:val="0"/>
          <w:szCs w:val="22"/>
          <w:lang w:eastAsia="en-GB"/>
        </w:rPr>
      </w:pPr>
      <w:hyperlink w:anchor="_Toc517968038" w:history="1">
        <w:r w:rsidR="000807C7" w:rsidRPr="00085738">
          <w:rPr>
            <w:rStyle w:val="Hyperlink"/>
          </w:rPr>
          <w:t>7. RISK MITIGATION</w:t>
        </w:r>
        <w:r w:rsidR="000807C7">
          <w:rPr>
            <w:webHidden/>
          </w:rPr>
          <w:tab/>
        </w:r>
        <w:r w:rsidR="000807C7">
          <w:rPr>
            <w:webHidden/>
          </w:rPr>
          <w:fldChar w:fldCharType="begin"/>
        </w:r>
        <w:r w:rsidR="000807C7">
          <w:rPr>
            <w:webHidden/>
          </w:rPr>
          <w:instrText xml:space="preserve"> PAGEREF _Toc517968038 \h </w:instrText>
        </w:r>
        <w:r w:rsidR="000807C7">
          <w:rPr>
            <w:webHidden/>
          </w:rPr>
        </w:r>
        <w:r w:rsidR="000807C7">
          <w:rPr>
            <w:webHidden/>
          </w:rPr>
          <w:fldChar w:fldCharType="separate"/>
        </w:r>
        <w:r w:rsidR="006E4FC1">
          <w:rPr>
            <w:webHidden/>
          </w:rPr>
          <w:t>23</w:t>
        </w:r>
        <w:r w:rsidR="000807C7">
          <w:rPr>
            <w:webHidden/>
          </w:rPr>
          <w:fldChar w:fldCharType="end"/>
        </w:r>
      </w:hyperlink>
    </w:p>
    <w:p w14:paraId="6A68226E" w14:textId="77777777" w:rsidR="000807C7" w:rsidRDefault="000B07EA">
      <w:pPr>
        <w:pStyle w:val="TOC2"/>
        <w:rPr>
          <w:rFonts w:asciiTheme="minorHAnsi" w:eastAsiaTheme="minorEastAsia" w:hAnsiTheme="minorHAnsi" w:cstheme="minorBidi"/>
          <w:szCs w:val="22"/>
          <w:lang w:eastAsia="en-GB"/>
        </w:rPr>
      </w:pPr>
      <w:hyperlink w:anchor="_Toc517968039" w:history="1">
        <w:r w:rsidR="000807C7" w:rsidRPr="00085738">
          <w:rPr>
            <w:rStyle w:val="Hyperlink"/>
          </w:rPr>
          <w:t>7.1. Customer Risk Assessment and Mitigation</w:t>
        </w:r>
        <w:r w:rsidR="000807C7">
          <w:rPr>
            <w:webHidden/>
          </w:rPr>
          <w:tab/>
        </w:r>
        <w:r w:rsidR="000807C7">
          <w:rPr>
            <w:webHidden/>
          </w:rPr>
          <w:fldChar w:fldCharType="begin"/>
        </w:r>
        <w:r w:rsidR="000807C7">
          <w:rPr>
            <w:webHidden/>
          </w:rPr>
          <w:instrText xml:space="preserve"> PAGEREF _Toc517968039 \h </w:instrText>
        </w:r>
        <w:r w:rsidR="000807C7">
          <w:rPr>
            <w:webHidden/>
          </w:rPr>
        </w:r>
        <w:r w:rsidR="000807C7">
          <w:rPr>
            <w:webHidden/>
          </w:rPr>
          <w:fldChar w:fldCharType="separate"/>
        </w:r>
        <w:r w:rsidR="006E4FC1">
          <w:rPr>
            <w:webHidden/>
          </w:rPr>
          <w:t>23</w:t>
        </w:r>
        <w:r w:rsidR="000807C7">
          <w:rPr>
            <w:webHidden/>
          </w:rPr>
          <w:fldChar w:fldCharType="end"/>
        </w:r>
      </w:hyperlink>
    </w:p>
    <w:p w14:paraId="37FDB45F" w14:textId="77777777" w:rsidR="000807C7" w:rsidRDefault="000B07EA">
      <w:pPr>
        <w:pStyle w:val="TOC3"/>
        <w:rPr>
          <w:rFonts w:asciiTheme="minorHAnsi" w:eastAsiaTheme="minorEastAsia" w:hAnsiTheme="minorHAnsi" w:cstheme="minorBidi"/>
          <w:szCs w:val="22"/>
          <w:lang w:eastAsia="en-GB"/>
        </w:rPr>
      </w:pPr>
      <w:hyperlink w:anchor="_Toc517968040" w:history="1">
        <w:r w:rsidR="000807C7" w:rsidRPr="00085738">
          <w:rPr>
            <w:rStyle w:val="Hyperlink"/>
          </w:rPr>
          <w:t>7.1.1. Customer Due Diligence (CDD)</w:t>
        </w:r>
        <w:r w:rsidR="000807C7">
          <w:rPr>
            <w:webHidden/>
          </w:rPr>
          <w:tab/>
        </w:r>
        <w:r w:rsidR="000807C7">
          <w:rPr>
            <w:webHidden/>
          </w:rPr>
          <w:fldChar w:fldCharType="begin"/>
        </w:r>
        <w:r w:rsidR="000807C7">
          <w:rPr>
            <w:webHidden/>
          </w:rPr>
          <w:instrText xml:space="preserve"> PAGEREF _Toc517968040 \h </w:instrText>
        </w:r>
        <w:r w:rsidR="000807C7">
          <w:rPr>
            <w:webHidden/>
          </w:rPr>
        </w:r>
        <w:r w:rsidR="000807C7">
          <w:rPr>
            <w:webHidden/>
          </w:rPr>
          <w:fldChar w:fldCharType="separate"/>
        </w:r>
        <w:r w:rsidR="006E4FC1">
          <w:rPr>
            <w:webHidden/>
          </w:rPr>
          <w:t>24</w:t>
        </w:r>
        <w:r w:rsidR="000807C7">
          <w:rPr>
            <w:webHidden/>
          </w:rPr>
          <w:fldChar w:fldCharType="end"/>
        </w:r>
      </w:hyperlink>
    </w:p>
    <w:p w14:paraId="1AFD7542" w14:textId="77777777" w:rsidR="000807C7" w:rsidRDefault="000B07EA">
      <w:pPr>
        <w:pStyle w:val="TOC3"/>
        <w:rPr>
          <w:rFonts w:asciiTheme="minorHAnsi" w:eastAsiaTheme="minorEastAsia" w:hAnsiTheme="minorHAnsi" w:cstheme="minorBidi"/>
          <w:szCs w:val="22"/>
          <w:lang w:eastAsia="en-GB"/>
        </w:rPr>
      </w:pPr>
      <w:hyperlink w:anchor="_Toc517968041" w:history="1">
        <w:r w:rsidR="000807C7" w:rsidRPr="00085738">
          <w:rPr>
            <w:rStyle w:val="Hyperlink"/>
          </w:rPr>
          <w:t>7.1.2. Simplified Due Diligence (SDD)</w:t>
        </w:r>
        <w:r w:rsidR="000807C7">
          <w:rPr>
            <w:webHidden/>
          </w:rPr>
          <w:tab/>
        </w:r>
        <w:r w:rsidR="000807C7">
          <w:rPr>
            <w:webHidden/>
          </w:rPr>
          <w:fldChar w:fldCharType="begin"/>
        </w:r>
        <w:r w:rsidR="000807C7">
          <w:rPr>
            <w:webHidden/>
          </w:rPr>
          <w:instrText xml:space="preserve"> PAGEREF _Toc517968041 \h </w:instrText>
        </w:r>
        <w:r w:rsidR="000807C7">
          <w:rPr>
            <w:webHidden/>
          </w:rPr>
        </w:r>
        <w:r w:rsidR="000807C7">
          <w:rPr>
            <w:webHidden/>
          </w:rPr>
          <w:fldChar w:fldCharType="separate"/>
        </w:r>
        <w:r w:rsidR="006E4FC1">
          <w:rPr>
            <w:webHidden/>
          </w:rPr>
          <w:t>25</w:t>
        </w:r>
        <w:r w:rsidR="000807C7">
          <w:rPr>
            <w:webHidden/>
          </w:rPr>
          <w:fldChar w:fldCharType="end"/>
        </w:r>
      </w:hyperlink>
    </w:p>
    <w:p w14:paraId="0888292A" w14:textId="77777777" w:rsidR="000807C7" w:rsidRDefault="000B07EA">
      <w:pPr>
        <w:pStyle w:val="TOC3"/>
        <w:rPr>
          <w:rFonts w:asciiTheme="minorHAnsi" w:eastAsiaTheme="minorEastAsia" w:hAnsiTheme="minorHAnsi" w:cstheme="minorBidi"/>
          <w:szCs w:val="22"/>
          <w:lang w:eastAsia="en-GB"/>
        </w:rPr>
      </w:pPr>
      <w:hyperlink w:anchor="_Toc517968042" w:history="1">
        <w:r w:rsidR="000807C7" w:rsidRPr="00085738">
          <w:rPr>
            <w:rStyle w:val="Hyperlink"/>
          </w:rPr>
          <w:t>7.1.3. Enhanced Due Diligence</w:t>
        </w:r>
        <w:r w:rsidR="000807C7">
          <w:rPr>
            <w:webHidden/>
          </w:rPr>
          <w:tab/>
        </w:r>
        <w:r w:rsidR="000807C7">
          <w:rPr>
            <w:webHidden/>
          </w:rPr>
          <w:fldChar w:fldCharType="begin"/>
        </w:r>
        <w:r w:rsidR="000807C7">
          <w:rPr>
            <w:webHidden/>
          </w:rPr>
          <w:instrText xml:space="preserve"> PAGEREF _Toc517968042 \h </w:instrText>
        </w:r>
        <w:r w:rsidR="000807C7">
          <w:rPr>
            <w:webHidden/>
          </w:rPr>
        </w:r>
        <w:r w:rsidR="000807C7">
          <w:rPr>
            <w:webHidden/>
          </w:rPr>
          <w:fldChar w:fldCharType="separate"/>
        </w:r>
        <w:r w:rsidR="006E4FC1">
          <w:rPr>
            <w:webHidden/>
          </w:rPr>
          <w:t>26</w:t>
        </w:r>
        <w:r w:rsidR="000807C7">
          <w:rPr>
            <w:webHidden/>
          </w:rPr>
          <w:fldChar w:fldCharType="end"/>
        </w:r>
      </w:hyperlink>
    </w:p>
    <w:p w14:paraId="6A9FEEF8" w14:textId="77777777" w:rsidR="000807C7" w:rsidRDefault="000B07EA">
      <w:pPr>
        <w:pStyle w:val="TOC3"/>
        <w:rPr>
          <w:rFonts w:asciiTheme="minorHAnsi" w:eastAsiaTheme="minorEastAsia" w:hAnsiTheme="minorHAnsi" w:cstheme="minorBidi"/>
          <w:szCs w:val="22"/>
          <w:lang w:eastAsia="en-GB"/>
        </w:rPr>
      </w:pPr>
      <w:hyperlink w:anchor="_Toc517968043" w:history="1">
        <w:r w:rsidR="000807C7" w:rsidRPr="00085738">
          <w:rPr>
            <w:rStyle w:val="Hyperlink"/>
          </w:rPr>
          <w:t>7.1.4. Ongoing Risk Monitoring and Mitigation</w:t>
        </w:r>
        <w:r w:rsidR="000807C7">
          <w:rPr>
            <w:webHidden/>
          </w:rPr>
          <w:tab/>
        </w:r>
        <w:r w:rsidR="000807C7">
          <w:rPr>
            <w:webHidden/>
          </w:rPr>
          <w:fldChar w:fldCharType="begin"/>
        </w:r>
        <w:r w:rsidR="000807C7">
          <w:rPr>
            <w:webHidden/>
          </w:rPr>
          <w:instrText xml:space="preserve"> PAGEREF _Toc517968043 \h </w:instrText>
        </w:r>
        <w:r w:rsidR="000807C7">
          <w:rPr>
            <w:webHidden/>
          </w:rPr>
        </w:r>
        <w:r w:rsidR="000807C7">
          <w:rPr>
            <w:webHidden/>
          </w:rPr>
          <w:fldChar w:fldCharType="separate"/>
        </w:r>
        <w:r w:rsidR="006E4FC1">
          <w:rPr>
            <w:webHidden/>
          </w:rPr>
          <w:t>26</w:t>
        </w:r>
        <w:r w:rsidR="000807C7">
          <w:rPr>
            <w:webHidden/>
          </w:rPr>
          <w:fldChar w:fldCharType="end"/>
        </w:r>
      </w:hyperlink>
    </w:p>
    <w:p w14:paraId="149FA193" w14:textId="77777777" w:rsidR="000807C7" w:rsidRDefault="000B07EA">
      <w:pPr>
        <w:pStyle w:val="TOC3"/>
        <w:rPr>
          <w:rFonts w:asciiTheme="minorHAnsi" w:eastAsiaTheme="minorEastAsia" w:hAnsiTheme="minorHAnsi" w:cstheme="minorBidi"/>
          <w:szCs w:val="22"/>
          <w:lang w:eastAsia="en-GB"/>
        </w:rPr>
      </w:pPr>
      <w:hyperlink w:anchor="_Toc517968044" w:history="1">
        <w:r w:rsidR="000807C7" w:rsidRPr="00085738">
          <w:rPr>
            <w:rStyle w:val="Hyperlink"/>
          </w:rPr>
          <w:t>7.1.5. Reporting Suspicious Transactions</w:t>
        </w:r>
        <w:r w:rsidR="000807C7">
          <w:rPr>
            <w:webHidden/>
          </w:rPr>
          <w:tab/>
        </w:r>
        <w:r w:rsidR="000807C7">
          <w:rPr>
            <w:webHidden/>
          </w:rPr>
          <w:fldChar w:fldCharType="begin"/>
        </w:r>
        <w:r w:rsidR="000807C7">
          <w:rPr>
            <w:webHidden/>
          </w:rPr>
          <w:instrText xml:space="preserve"> PAGEREF _Toc517968044 \h </w:instrText>
        </w:r>
        <w:r w:rsidR="000807C7">
          <w:rPr>
            <w:webHidden/>
          </w:rPr>
        </w:r>
        <w:r w:rsidR="000807C7">
          <w:rPr>
            <w:webHidden/>
          </w:rPr>
          <w:fldChar w:fldCharType="separate"/>
        </w:r>
        <w:r w:rsidR="006E4FC1">
          <w:rPr>
            <w:webHidden/>
          </w:rPr>
          <w:t>26</w:t>
        </w:r>
        <w:r w:rsidR="000807C7">
          <w:rPr>
            <w:webHidden/>
          </w:rPr>
          <w:fldChar w:fldCharType="end"/>
        </w:r>
      </w:hyperlink>
    </w:p>
    <w:p w14:paraId="4B063315" w14:textId="77777777" w:rsidR="000807C7" w:rsidRDefault="000B07EA">
      <w:pPr>
        <w:pStyle w:val="TOC1"/>
        <w:rPr>
          <w:rFonts w:asciiTheme="minorHAnsi" w:eastAsiaTheme="minorEastAsia" w:hAnsiTheme="minorHAnsi" w:cstheme="minorBidi"/>
          <w:b w:val="0"/>
          <w:szCs w:val="22"/>
          <w:lang w:eastAsia="en-GB"/>
        </w:rPr>
      </w:pPr>
      <w:hyperlink w:anchor="_Toc517968045" w:history="1">
        <w:r w:rsidR="000807C7" w:rsidRPr="00085738">
          <w:rPr>
            <w:rStyle w:val="Hyperlink"/>
          </w:rPr>
          <w:t>8. INTERNAL CONTROLS, GOVERNANCE AND MONITORING</w:t>
        </w:r>
        <w:r w:rsidR="000807C7">
          <w:rPr>
            <w:webHidden/>
          </w:rPr>
          <w:tab/>
        </w:r>
        <w:r w:rsidR="000807C7">
          <w:rPr>
            <w:webHidden/>
          </w:rPr>
          <w:fldChar w:fldCharType="begin"/>
        </w:r>
        <w:r w:rsidR="000807C7">
          <w:rPr>
            <w:webHidden/>
          </w:rPr>
          <w:instrText xml:space="preserve"> PAGEREF _Toc517968045 \h </w:instrText>
        </w:r>
        <w:r w:rsidR="000807C7">
          <w:rPr>
            <w:webHidden/>
          </w:rPr>
        </w:r>
        <w:r w:rsidR="000807C7">
          <w:rPr>
            <w:webHidden/>
          </w:rPr>
          <w:fldChar w:fldCharType="separate"/>
        </w:r>
        <w:r w:rsidR="006E4FC1">
          <w:rPr>
            <w:webHidden/>
          </w:rPr>
          <w:t>27</w:t>
        </w:r>
        <w:r w:rsidR="000807C7">
          <w:rPr>
            <w:webHidden/>
          </w:rPr>
          <w:fldChar w:fldCharType="end"/>
        </w:r>
      </w:hyperlink>
    </w:p>
    <w:p w14:paraId="47E28CB0" w14:textId="77777777" w:rsidR="000807C7" w:rsidRDefault="000B07EA">
      <w:pPr>
        <w:pStyle w:val="TOC2"/>
        <w:rPr>
          <w:rFonts w:asciiTheme="minorHAnsi" w:eastAsiaTheme="minorEastAsia" w:hAnsiTheme="minorHAnsi" w:cstheme="minorBidi"/>
          <w:szCs w:val="22"/>
          <w:lang w:eastAsia="en-GB"/>
        </w:rPr>
      </w:pPr>
      <w:hyperlink w:anchor="_Toc517968046" w:history="1">
        <w:r w:rsidR="000807C7" w:rsidRPr="00085738">
          <w:rPr>
            <w:rStyle w:val="Hyperlink"/>
          </w:rPr>
          <w:t>8.1. Internal controls</w:t>
        </w:r>
        <w:r w:rsidR="000807C7">
          <w:rPr>
            <w:webHidden/>
          </w:rPr>
          <w:tab/>
        </w:r>
        <w:r w:rsidR="000807C7">
          <w:rPr>
            <w:webHidden/>
          </w:rPr>
          <w:fldChar w:fldCharType="begin"/>
        </w:r>
        <w:r w:rsidR="000807C7">
          <w:rPr>
            <w:webHidden/>
          </w:rPr>
          <w:instrText xml:space="preserve"> PAGEREF _Toc517968046 \h </w:instrText>
        </w:r>
        <w:r w:rsidR="000807C7">
          <w:rPr>
            <w:webHidden/>
          </w:rPr>
        </w:r>
        <w:r w:rsidR="000807C7">
          <w:rPr>
            <w:webHidden/>
          </w:rPr>
          <w:fldChar w:fldCharType="separate"/>
        </w:r>
        <w:r w:rsidR="006E4FC1">
          <w:rPr>
            <w:webHidden/>
          </w:rPr>
          <w:t>27</w:t>
        </w:r>
        <w:r w:rsidR="000807C7">
          <w:rPr>
            <w:webHidden/>
          </w:rPr>
          <w:fldChar w:fldCharType="end"/>
        </w:r>
      </w:hyperlink>
    </w:p>
    <w:p w14:paraId="593C1088" w14:textId="77777777" w:rsidR="000807C7" w:rsidRDefault="000B07EA">
      <w:pPr>
        <w:pStyle w:val="TOC3"/>
        <w:rPr>
          <w:rFonts w:asciiTheme="minorHAnsi" w:eastAsiaTheme="minorEastAsia" w:hAnsiTheme="minorHAnsi" w:cstheme="minorBidi"/>
          <w:szCs w:val="22"/>
          <w:lang w:eastAsia="en-GB"/>
        </w:rPr>
      </w:pPr>
      <w:hyperlink w:anchor="_Toc517968047" w:history="1">
        <w:r w:rsidR="000807C7" w:rsidRPr="00085738">
          <w:rPr>
            <w:rStyle w:val="Hyperlink"/>
          </w:rPr>
          <w:t>8.1.1. Control Environment – Entity Level Controls (Group and Subsidiary)</w:t>
        </w:r>
        <w:r w:rsidR="000807C7">
          <w:rPr>
            <w:webHidden/>
          </w:rPr>
          <w:tab/>
        </w:r>
        <w:r w:rsidR="000807C7">
          <w:rPr>
            <w:webHidden/>
          </w:rPr>
          <w:fldChar w:fldCharType="begin"/>
        </w:r>
        <w:r w:rsidR="000807C7">
          <w:rPr>
            <w:webHidden/>
          </w:rPr>
          <w:instrText xml:space="preserve"> PAGEREF _Toc517968047 \h </w:instrText>
        </w:r>
        <w:r w:rsidR="000807C7">
          <w:rPr>
            <w:webHidden/>
          </w:rPr>
        </w:r>
        <w:r w:rsidR="000807C7">
          <w:rPr>
            <w:webHidden/>
          </w:rPr>
          <w:fldChar w:fldCharType="separate"/>
        </w:r>
        <w:r w:rsidR="006E4FC1">
          <w:rPr>
            <w:webHidden/>
          </w:rPr>
          <w:t>27</w:t>
        </w:r>
        <w:r w:rsidR="000807C7">
          <w:rPr>
            <w:webHidden/>
          </w:rPr>
          <w:fldChar w:fldCharType="end"/>
        </w:r>
      </w:hyperlink>
    </w:p>
    <w:p w14:paraId="70530E04" w14:textId="77777777" w:rsidR="000807C7" w:rsidRDefault="000B07EA">
      <w:pPr>
        <w:pStyle w:val="TOC3"/>
        <w:rPr>
          <w:rFonts w:asciiTheme="minorHAnsi" w:eastAsiaTheme="minorEastAsia" w:hAnsiTheme="minorHAnsi" w:cstheme="minorBidi"/>
          <w:szCs w:val="22"/>
          <w:lang w:eastAsia="en-GB"/>
        </w:rPr>
      </w:pPr>
      <w:hyperlink w:anchor="_Toc517968048" w:history="1">
        <w:r w:rsidR="000807C7" w:rsidRPr="00085738">
          <w:rPr>
            <w:rStyle w:val="Hyperlink"/>
          </w:rPr>
          <w:t>8.1.2. Assessment of controls</w:t>
        </w:r>
        <w:r w:rsidR="000807C7">
          <w:rPr>
            <w:webHidden/>
          </w:rPr>
          <w:tab/>
        </w:r>
        <w:r w:rsidR="000807C7">
          <w:rPr>
            <w:webHidden/>
          </w:rPr>
          <w:fldChar w:fldCharType="begin"/>
        </w:r>
        <w:r w:rsidR="000807C7">
          <w:rPr>
            <w:webHidden/>
          </w:rPr>
          <w:instrText xml:space="preserve"> PAGEREF _Toc517968048 \h </w:instrText>
        </w:r>
        <w:r w:rsidR="000807C7">
          <w:rPr>
            <w:webHidden/>
          </w:rPr>
        </w:r>
        <w:r w:rsidR="000807C7">
          <w:rPr>
            <w:webHidden/>
          </w:rPr>
          <w:fldChar w:fldCharType="separate"/>
        </w:r>
        <w:r w:rsidR="006E4FC1">
          <w:rPr>
            <w:webHidden/>
          </w:rPr>
          <w:t>27</w:t>
        </w:r>
        <w:r w:rsidR="000807C7">
          <w:rPr>
            <w:webHidden/>
          </w:rPr>
          <w:fldChar w:fldCharType="end"/>
        </w:r>
      </w:hyperlink>
    </w:p>
    <w:p w14:paraId="3D4D9CC6" w14:textId="77777777" w:rsidR="000807C7" w:rsidRDefault="000B07EA">
      <w:pPr>
        <w:pStyle w:val="TOC3"/>
        <w:rPr>
          <w:rFonts w:asciiTheme="minorHAnsi" w:eastAsiaTheme="minorEastAsia" w:hAnsiTheme="minorHAnsi" w:cstheme="minorBidi"/>
          <w:szCs w:val="22"/>
          <w:lang w:eastAsia="en-GB"/>
        </w:rPr>
      </w:pPr>
      <w:hyperlink w:anchor="_Toc517968049" w:history="1">
        <w:r w:rsidR="000807C7" w:rsidRPr="00085738">
          <w:rPr>
            <w:rStyle w:val="Hyperlink"/>
          </w:rPr>
          <w:t>8.1.3. Policies and Procedures</w:t>
        </w:r>
        <w:r w:rsidR="000807C7">
          <w:rPr>
            <w:webHidden/>
          </w:rPr>
          <w:tab/>
        </w:r>
        <w:r w:rsidR="000807C7">
          <w:rPr>
            <w:webHidden/>
          </w:rPr>
          <w:fldChar w:fldCharType="begin"/>
        </w:r>
        <w:r w:rsidR="000807C7">
          <w:rPr>
            <w:webHidden/>
          </w:rPr>
          <w:instrText xml:space="preserve"> PAGEREF _Toc517968049 \h </w:instrText>
        </w:r>
        <w:r w:rsidR="000807C7">
          <w:rPr>
            <w:webHidden/>
          </w:rPr>
        </w:r>
        <w:r w:rsidR="000807C7">
          <w:rPr>
            <w:webHidden/>
          </w:rPr>
          <w:fldChar w:fldCharType="separate"/>
        </w:r>
        <w:r w:rsidR="006E4FC1">
          <w:rPr>
            <w:webHidden/>
          </w:rPr>
          <w:t>30</w:t>
        </w:r>
        <w:r w:rsidR="000807C7">
          <w:rPr>
            <w:webHidden/>
          </w:rPr>
          <w:fldChar w:fldCharType="end"/>
        </w:r>
      </w:hyperlink>
    </w:p>
    <w:p w14:paraId="6584325E" w14:textId="77777777" w:rsidR="000807C7" w:rsidRDefault="000B07EA">
      <w:pPr>
        <w:pStyle w:val="TOC2"/>
        <w:rPr>
          <w:rFonts w:asciiTheme="minorHAnsi" w:eastAsiaTheme="minorEastAsia" w:hAnsiTheme="minorHAnsi" w:cstheme="minorBidi"/>
          <w:szCs w:val="22"/>
          <w:lang w:eastAsia="en-GB"/>
        </w:rPr>
      </w:pPr>
      <w:hyperlink w:anchor="_Toc517968050" w:history="1">
        <w:r w:rsidR="000807C7" w:rsidRPr="00085738">
          <w:rPr>
            <w:rStyle w:val="Hyperlink"/>
          </w:rPr>
          <w:t>8.2. Culture and “Tone –from the Top”</w:t>
        </w:r>
        <w:r w:rsidR="000807C7">
          <w:rPr>
            <w:webHidden/>
          </w:rPr>
          <w:tab/>
        </w:r>
        <w:r w:rsidR="000807C7">
          <w:rPr>
            <w:webHidden/>
          </w:rPr>
          <w:fldChar w:fldCharType="begin"/>
        </w:r>
        <w:r w:rsidR="000807C7">
          <w:rPr>
            <w:webHidden/>
          </w:rPr>
          <w:instrText xml:space="preserve"> PAGEREF _Toc517968050 \h </w:instrText>
        </w:r>
        <w:r w:rsidR="000807C7">
          <w:rPr>
            <w:webHidden/>
          </w:rPr>
        </w:r>
        <w:r w:rsidR="000807C7">
          <w:rPr>
            <w:webHidden/>
          </w:rPr>
          <w:fldChar w:fldCharType="separate"/>
        </w:r>
        <w:r w:rsidR="006E4FC1">
          <w:rPr>
            <w:webHidden/>
          </w:rPr>
          <w:t>31</w:t>
        </w:r>
        <w:r w:rsidR="000807C7">
          <w:rPr>
            <w:webHidden/>
          </w:rPr>
          <w:fldChar w:fldCharType="end"/>
        </w:r>
      </w:hyperlink>
    </w:p>
    <w:p w14:paraId="1B8D2335" w14:textId="77777777" w:rsidR="000807C7" w:rsidRDefault="000B07EA">
      <w:pPr>
        <w:pStyle w:val="TOC2"/>
        <w:rPr>
          <w:rFonts w:asciiTheme="minorHAnsi" w:eastAsiaTheme="minorEastAsia" w:hAnsiTheme="minorHAnsi" w:cstheme="minorBidi"/>
          <w:szCs w:val="22"/>
          <w:lang w:eastAsia="en-GB"/>
        </w:rPr>
      </w:pPr>
      <w:hyperlink w:anchor="_Toc517968051" w:history="1">
        <w:r w:rsidR="000807C7" w:rsidRPr="00085738">
          <w:rPr>
            <w:rStyle w:val="Hyperlink"/>
          </w:rPr>
          <w:t>8.3. Human Resources - Personnel</w:t>
        </w:r>
        <w:r w:rsidR="000807C7">
          <w:rPr>
            <w:webHidden/>
          </w:rPr>
          <w:tab/>
        </w:r>
        <w:r w:rsidR="000807C7">
          <w:rPr>
            <w:webHidden/>
          </w:rPr>
          <w:fldChar w:fldCharType="begin"/>
        </w:r>
        <w:r w:rsidR="000807C7">
          <w:rPr>
            <w:webHidden/>
          </w:rPr>
          <w:instrText xml:space="preserve"> PAGEREF _Toc517968051 \h </w:instrText>
        </w:r>
        <w:r w:rsidR="000807C7">
          <w:rPr>
            <w:webHidden/>
          </w:rPr>
        </w:r>
        <w:r w:rsidR="000807C7">
          <w:rPr>
            <w:webHidden/>
          </w:rPr>
          <w:fldChar w:fldCharType="separate"/>
        </w:r>
        <w:r w:rsidR="006E4FC1">
          <w:rPr>
            <w:webHidden/>
          </w:rPr>
          <w:t>32</w:t>
        </w:r>
        <w:r w:rsidR="000807C7">
          <w:rPr>
            <w:webHidden/>
          </w:rPr>
          <w:fldChar w:fldCharType="end"/>
        </w:r>
      </w:hyperlink>
    </w:p>
    <w:p w14:paraId="108C60AE" w14:textId="77777777" w:rsidR="000807C7" w:rsidRDefault="000B07EA">
      <w:pPr>
        <w:pStyle w:val="TOC2"/>
        <w:rPr>
          <w:rFonts w:asciiTheme="minorHAnsi" w:eastAsiaTheme="minorEastAsia" w:hAnsiTheme="minorHAnsi" w:cstheme="minorBidi"/>
          <w:szCs w:val="22"/>
          <w:lang w:eastAsia="en-GB"/>
        </w:rPr>
      </w:pPr>
      <w:hyperlink w:anchor="_Toc517968052" w:history="1">
        <w:r w:rsidR="000807C7" w:rsidRPr="00085738">
          <w:rPr>
            <w:rStyle w:val="Hyperlink"/>
          </w:rPr>
          <w:t>8.4. Training and communication</w:t>
        </w:r>
        <w:r w:rsidR="000807C7">
          <w:rPr>
            <w:webHidden/>
          </w:rPr>
          <w:tab/>
        </w:r>
        <w:r w:rsidR="000807C7">
          <w:rPr>
            <w:webHidden/>
          </w:rPr>
          <w:fldChar w:fldCharType="begin"/>
        </w:r>
        <w:r w:rsidR="000807C7">
          <w:rPr>
            <w:webHidden/>
          </w:rPr>
          <w:instrText xml:space="preserve"> PAGEREF _Toc517968052 \h </w:instrText>
        </w:r>
        <w:r w:rsidR="000807C7">
          <w:rPr>
            <w:webHidden/>
          </w:rPr>
        </w:r>
        <w:r w:rsidR="000807C7">
          <w:rPr>
            <w:webHidden/>
          </w:rPr>
          <w:fldChar w:fldCharType="separate"/>
        </w:r>
        <w:r w:rsidR="006E4FC1">
          <w:rPr>
            <w:webHidden/>
          </w:rPr>
          <w:t>32</w:t>
        </w:r>
        <w:r w:rsidR="000807C7">
          <w:rPr>
            <w:webHidden/>
          </w:rPr>
          <w:fldChar w:fldCharType="end"/>
        </w:r>
      </w:hyperlink>
    </w:p>
    <w:p w14:paraId="3496CD1A" w14:textId="5F85199E" w:rsidR="005534CF" w:rsidRPr="005534CF" w:rsidRDefault="005534CF" w:rsidP="005534CF">
      <w:pPr>
        <w:rPr>
          <w:b/>
        </w:rPr>
      </w:pPr>
      <w:r w:rsidRPr="005534CF">
        <w:rPr>
          <w:b/>
        </w:rPr>
        <w:lastRenderedPageBreak/>
        <w:t>S</w:t>
      </w:r>
      <w:r>
        <w:rPr>
          <w:b/>
        </w:rPr>
        <w:t>ECTION</w:t>
      </w:r>
      <w:r w:rsidRPr="005534CF">
        <w:rPr>
          <w:b/>
        </w:rPr>
        <w:t xml:space="preserve"> I</w:t>
      </w:r>
      <w:r>
        <w:rPr>
          <w:b/>
        </w:rPr>
        <w:t>II GUIDANCE FOR SUPERVISORS</w:t>
      </w:r>
    </w:p>
    <w:p w14:paraId="74659E11" w14:textId="77777777" w:rsidR="000807C7" w:rsidRDefault="000B07EA">
      <w:pPr>
        <w:pStyle w:val="TOC1"/>
        <w:rPr>
          <w:rFonts w:asciiTheme="minorHAnsi" w:eastAsiaTheme="minorEastAsia" w:hAnsiTheme="minorHAnsi" w:cstheme="minorBidi"/>
          <w:b w:val="0"/>
          <w:szCs w:val="22"/>
          <w:lang w:eastAsia="en-GB"/>
        </w:rPr>
      </w:pPr>
      <w:hyperlink w:anchor="_Toc517968053" w:history="1">
        <w:r w:rsidR="000807C7" w:rsidRPr="00085738">
          <w:rPr>
            <w:rStyle w:val="Hyperlink"/>
          </w:rPr>
          <w:t>9. RISK BASED APPROACH TO SUPERVISION</w:t>
        </w:r>
        <w:r w:rsidR="000807C7">
          <w:rPr>
            <w:webHidden/>
          </w:rPr>
          <w:tab/>
        </w:r>
        <w:r w:rsidR="000807C7">
          <w:rPr>
            <w:webHidden/>
          </w:rPr>
          <w:fldChar w:fldCharType="begin"/>
        </w:r>
        <w:r w:rsidR="000807C7">
          <w:rPr>
            <w:webHidden/>
          </w:rPr>
          <w:instrText xml:space="preserve"> PAGEREF _Toc517968053 \h </w:instrText>
        </w:r>
        <w:r w:rsidR="000807C7">
          <w:rPr>
            <w:webHidden/>
          </w:rPr>
        </w:r>
        <w:r w:rsidR="000807C7">
          <w:rPr>
            <w:webHidden/>
          </w:rPr>
          <w:fldChar w:fldCharType="separate"/>
        </w:r>
        <w:r w:rsidR="006E4FC1">
          <w:rPr>
            <w:webHidden/>
          </w:rPr>
          <w:t>33</w:t>
        </w:r>
        <w:r w:rsidR="000807C7">
          <w:rPr>
            <w:webHidden/>
          </w:rPr>
          <w:fldChar w:fldCharType="end"/>
        </w:r>
      </w:hyperlink>
    </w:p>
    <w:p w14:paraId="796DEE7B" w14:textId="77777777" w:rsidR="000807C7" w:rsidRDefault="000B07EA">
      <w:pPr>
        <w:pStyle w:val="TOC2"/>
        <w:rPr>
          <w:rFonts w:asciiTheme="minorHAnsi" w:eastAsiaTheme="minorEastAsia" w:hAnsiTheme="minorHAnsi" w:cstheme="minorBidi"/>
          <w:szCs w:val="22"/>
          <w:lang w:eastAsia="en-GB"/>
        </w:rPr>
      </w:pPr>
      <w:hyperlink w:anchor="_Toc517968054" w:history="1">
        <w:r w:rsidR="000807C7" w:rsidRPr="00085738">
          <w:rPr>
            <w:rStyle w:val="Hyperlink"/>
          </w:rPr>
          <w:t>9.1. Understanding and assessing the ML/TF risks</w:t>
        </w:r>
        <w:r w:rsidR="000807C7">
          <w:rPr>
            <w:webHidden/>
          </w:rPr>
          <w:tab/>
        </w:r>
        <w:r w:rsidR="000807C7">
          <w:rPr>
            <w:webHidden/>
          </w:rPr>
          <w:fldChar w:fldCharType="begin"/>
        </w:r>
        <w:r w:rsidR="000807C7">
          <w:rPr>
            <w:webHidden/>
          </w:rPr>
          <w:instrText xml:space="preserve"> PAGEREF _Toc517968054 \h </w:instrText>
        </w:r>
        <w:r w:rsidR="000807C7">
          <w:rPr>
            <w:webHidden/>
          </w:rPr>
        </w:r>
        <w:r w:rsidR="000807C7">
          <w:rPr>
            <w:webHidden/>
          </w:rPr>
          <w:fldChar w:fldCharType="separate"/>
        </w:r>
        <w:r w:rsidR="006E4FC1">
          <w:rPr>
            <w:webHidden/>
          </w:rPr>
          <w:t>34</w:t>
        </w:r>
        <w:r w:rsidR="000807C7">
          <w:rPr>
            <w:webHidden/>
          </w:rPr>
          <w:fldChar w:fldCharType="end"/>
        </w:r>
      </w:hyperlink>
    </w:p>
    <w:p w14:paraId="0962CBB7" w14:textId="77777777" w:rsidR="000807C7" w:rsidRDefault="000B07EA">
      <w:pPr>
        <w:pStyle w:val="TOC3"/>
        <w:rPr>
          <w:rFonts w:asciiTheme="minorHAnsi" w:eastAsiaTheme="minorEastAsia" w:hAnsiTheme="minorHAnsi" w:cstheme="minorBidi"/>
          <w:szCs w:val="22"/>
          <w:lang w:eastAsia="en-GB"/>
        </w:rPr>
      </w:pPr>
      <w:hyperlink w:anchor="_Toc517968055" w:history="1">
        <w:r w:rsidR="000807C7" w:rsidRPr="00085738">
          <w:rPr>
            <w:rStyle w:val="Hyperlink"/>
          </w:rPr>
          <w:t>9.1.1. Risks, threats and vulnerabilities of the life insurance sector</w:t>
        </w:r>
        <w:r w:rsidR="000807C7">
          <w:rPr>
            <w:webHidden/>
          </w:rPr>
          <w:tab/>
        </w:r>
        <w:r w:rsidR="000807C7">
          <w:rPr>
            <w:webHidden/>
          </w:rPr>
          <w:fldChar w:fldCharType="begin"/>
        </w:r>
        <w:r w:rsidR="000807C7">
          <w:rPr>
            <w:webHidden/>
          </w:rPr>
          <w:instrText xml:space="preserve"> PAGEREF _Toc517968055 \h </w:instrText>
        </w:r>
        <w:r w:rsidR="000807C7">
          <w:rPr>
            <w:webHidden/>
          </w:rPr>
        </w:r>
        <w:r w:rsidR="000807C7">
          <w:rPr>
            <w:webHidden/>
          </w:rPr>
          <w:fldChar w:fldCharType="separate"/>
        </w:r>
        <w:r w:rsidR="006E4FC1">
          <w:rPr>
            <w:webHidden/>
          </w:rPr>
          <w:t>34</w:t>
        </w:r>
        <w:r w:rsidR="000807C7">
          <w:rPr>
            <w:webHidden/>
          </w:rPr>
          <w:fldChar w:fldCharType="end"/>
        </w:r>
      </w:hyperlink>
    </w:p>
    <w:p w14:paraId="2E2DD5AB" w14:textId="77777777" w:rsidR="000807C7" w:rsidRDefault="000B07EA">
      <w:pPr>
        <w:pStyle w:val="TOC3"/>
        <w:rPr>
          <w:rFonts w:asciiTheme="minorHAnsi" w:eastAsiaTheme="minorEastAsia" w:hAnsiTheme="minorHAnsi" w:cstheme="minorBidi"/>
          <w:szCs w:val="22"/>
          <w:lang w:eastAsia="en-GB"/>
        </w:rPr>
      </w:pPr>
      <w:hyperlink w:anchor="_Toc517968056" w:history="1">
        <w:r w:rsidR="000807C7" w:rsidRPr="00085738">
          <w:rPr>
            <w:rStyle w:val="Hyperlink"/>
          </w:rPr>
          <w:t>9.1.2. Risks, threats and vulnerabilities of life insurance products</w:t>
        </w:r>
        <w:r w:rsidR="000807C7">
          <w:rPr>
            <w:webHidden/>
          </w:rPr>
          <w:tab/>
        </w:r>
        <w:r w:rsidR="000807C7">
          <w:rPr>
            <w:webHidden/>
          </w:rPr>
          <w:fldChar w:fldCharType="begin"/>
        </w:r>
        <w:r w:rsidR="000807C7">
          <w:rPr>
            <w:webHidden/>
          </w:rPr>
          <w:instrText xml:space="preserve"> PAGEREF _Toc517968056 \h </w:instrText>
        </w:r>
        <w:r w:rsidR="000807C7">
          <w:rPr>
            <w:webHidden/>
          </w:rPr>
        </w:r>
        <w:r w:rsidR="000807C7">
          <w:rPr>
            <w:webHidden/>
          </w:rPr>
          <w:fldChar w:fldCharType="separate"/>
        </w:r>
        <w:r w:rsidR="006E4FC1">
          <w:rPr>
            <w:webHidden/>
          </w:rPr>
          <w:t>35</w:t>
        </w:r>
        <w:r w:rsidR="000807C7">
          <w:rPr>
            <w:webHidden/>
          </w:rPr>
          <w:fldChar w:fldCharType="end"/>
        </w:r>
      </w:hyperlink>
    </w:p>
    <w:p w14:paraId="2F6ABEB7" w14:textId="77777777" w:rsidR="000807C7" w:rsidRDefault="000B07EA">
      <w:pPr>
        <w:pStyle w:val="TOC3"/>
        <w:rPr>
          <w:rFonts w:asciiTheme="minorHAnsi" w:eastAsiaTheme="minorEastAsia" w:hAnsiTheme="minorHAnsi" w:cstheme="minorBidi"/>
          <w:szCs w:val="22"/>
          <w:lang w:eastAsia="en-GB"/>
        </w:rPr>
      </w:pPr>
      <w:hyperlink w:anchor="_Toc517968057" w:history="1">
        <w:r w:rsidR="000807C7" w:rsidRPr="00085738">
          <w:rPr>
            <w:rStyle w:val="Hyperlink"/>
          </w:rPr>
          <w:t>9.1.3. Risks, threats and vulnerabilities of distribution channels</w:t>
        </w:r>
        <w:r w:rsidR="000807C7">
          <w:rPr>
            <w:webHidden/>
          </w:rPr>
          <w:tab/>
        </w:r>
        <w:r w:rsidR="000807C7">
          <w:rPr>
            <w:webHidden/>
          </w:rPr>
          <w:fldChar w:fldCharType="begin"/>
        </w:r>
        <w:r w:rsidR="000807C7">
          <w:rPr>
            <w:webHidden/>
          </w:rPr>
          <w:instrText xml:space="preserve"> PAGEREF _Toc517968057 \h </w:instrText>
        </w:r>
        <w:r w:rsidR="000807C7">
          <w:rPr>
            <w:webHidden/>
          </w:rPr>
        </w:r>
        <w:r w:rsidR="000807C7">
          <w:rPr>
            <w:webHidden/>
          </w:rPr>
          <w:fldChar w:fldCharType="separate"/>
        </w:r>
        <w:r w:rsidR="006E4FC1">
          <w:rPr>
            <w:webHidden/>
          </w:rPr>
          <w:t>35</w:t>
        </w:r>
        <w:r w:rsidR="000807C7">
          <w:rPr>
            <w:webHidden/>
          </w:rPr>
          <w:fldChar w:fldCharType="end"/>
        </w:r>
      </w:hyperlink>
    </w:p>
    <w:p w14:paraId="2D2331CC" w14:textId="77777777" w:rsidR="000807C7" w:rsidRDefault="000B07EA">
      <w:pPr>
        <w:pStyle w:val="TOC3"/>
        <w:rPr>
          <w:rFonts w:asciiTheme="minorHAnsi" w:eastAsiaTheme="minorEastAsia" w:hAnsiTheme="minorHAnsi" w:cstheme="minorBidi"/>
          <w:szCs w:val="22"/>
          <w:lang w:eastAsia="en-GB"/>
        </w:rPr>
      </w:pPr>
      <w:hyperlink w:anchor="_Toc517968058" w:history="1">
        <w:r w:rsidR="000807C7" w:rsidRPr="00085738">
          <w:rPr>
            <w:rStyle w:val="Hyperlink"/>
          </w:rPr>
          <w:t>9.1.4. Risks, threats and vulnerabilities associated to the geographical implantations of life insurers and intermediaries’ part of insurance/financial groups.</w:t>
        </w:r>
        <w:r w:rsidR="000807C7">
          <w:rPr>
            <w:webHidden/>
          </w:rPr>
          <w:tab/>
        </w:r>
        <w:r w:rsidR="000807C7">
          <w:rPr>
            <w:webHidden/>
          </w:rPr>
          <w:fldChar w:fldCharType="begin"/>
        </w:r>
        <w:r w:rsidR="000807C7">
          <w:rPr>
            <w:webHidden/>
          </w:rPr>
          <w:instrText xml:space="preserve"> PAGEREF _Toc517968058 \h </w:instrText>
        </w:r>
        <w:r w:rsidR="000807C7">
          <w:rPr>
            <w:webHidden/>
          </w:rPr>
        </w:r>
        <w:r w:rsidR="000807C7">
          <w:rPr>
            <w:webHidden/>
          </w:rPr>
          <w:fldChar w:fldCharType="separate"/>
        </w:r>
        <w:r w:rsidR="006E4FC1">
          <w:rPr>
            <w:webHidden/>
          </w:rPr>
          <w:t>36</w:t>
        </w:r>
        <w:r w:rsidR="000807C7">
          <w:rPr>
            <w:webHidden/>
          </w:rPr>
          <w:fldChar w:fldCharType="end"/>
        </w:r>
      </w:hyperlink>
    </w:p>
    <w:p w14:paraId="3A3A253E" w14:textId="77777777" w:rsidR="000807C7" w:rsidRDefault="000B07EA">
      <w:pPr>
        <w:pStyle w:val="TOC3"/>
        <w:rPr>
          <w:rFonts w:asciiTheme="minorHAnsi" w:eastAsiaTheme="minorEastAsia" w:hAnsiTheme="minorHAnsi" w:cstheme="minorBidi"/>
          <w:szCs w:val="22"/>
          <w:lang w:eastAsia="en-GB"/>
        </w:rPr>
      </w:pPr>
      <w:hyperlink w:anchor="_Toc517968064" w:history="1">
        <w:r w:rsidR="000807C7" w:rsidRPr="00085738">
          <w:rPr>
            <w:rStyle w:val="Hyperlink"/>
          </w:rPr>
          <w:t>9.1.5. Risks, threats and vulnerabilities of individual life insurers and intermediaries</w:t>
        </w:r>
        <w:r w:rsidR="000807C7">
          <w:rPr>
            <w:webHidden/>
          </w:rPr>
          <w:tab/>
        </w:r>
        <w:r w:rsidR="000807C7">
          <w:rPr>
            <w:webHidden/>
          </w:rPr>
          <w:fldChar w:fldCharType="begin"/>
        </w:r>
        <w:r w:rsidR="000807C7">
          <w:rPr>
            <w:webHidden/>
          </w:rPr>
          <w:instrText xml:space="preserve"> PAGEREF _Toc517968064 \h </w:instrText>
        </w:r>
        <w:r w:rsidR="000807C7">
          <w:rPr>
            <w:webHidden/>
          </w:rPr>
        </w:r>
        <w:r w:rsidR="000807C7">
          <w:rPr>
            <w:webHidden/>
          </w:rPr>
          <w:fldChar w:fldCharType="separate"/>
        </w:r>
        <w:r w:rsidR="006E4FC1">
          <w:rPr>
            <w:webHidden/>
          </w:rPr>
          <w:t>36</w:t>
        </w:r>
        <w:r w:rsidR="000807C7">
          <w:rPr>
            <w:webHidden/>
          </w:rPr>
          <w:fldChar w:fldCharType="end"/>
        </w:r>
      </w:hyperlink>
    </w:p>
    <w:p w14:paraId="63B395F6" w14:textId="77777777" w:rsidR="000807C7" w:rsidRDefault="000B07EA">
      <w:pPr>
        <w:pStyle w:val="TOC2"/>
        <w:rPr>
          <w:rFonts w:asciiTheme="minorHAnsi" w:eastAsiaTheme="minorEastAsia" w:hAnsiTheme="minorHAnsi" w:cstheme="minorBidi"/>
          <w:szCs w:val="22"/>
          <w:lang w:eastAsia="en-GB"/>
        </w:rPr>
      </w:pPr>
      <w:hyperlink w:anchor="_Toc517968065" w:history="1">
        <w:r w:rsidR="000807C7" w:rsidRPr="00085738">
          <w:rPr>
            <w:rStyle w:val="Hyperlink"/>
          </w:rPr>
          <w:t>9.2. Mitigating ML/TF risks</w:t>
        </w:r>
        <w:r w:rsidR="000807C7">
          <w:rPr>
            <w:webHidden/>
          </w:rPr>
          <w:tab/>
        </w:r>
        <w:r w:rsidR="000807C7">
          <w:rPr>
            <w:webHidden/>
          </w:rPr>
          <w:fldChar w:fldCharType="begin"/>
        </w:r>
        <w:r w:rsidR="000807C7">
          <w:rPr>
            <w:webHidden/>
          </w:rPr>
          <w:instrText xml:space="preserve"> PAGEREF _Toc517968065 \h </w:instrText>
        </w:r>
        <w:r w:rsidR="000807C7">
          <w:rPr>
            <w:webHidden/>
          </w:rPr>
        </w:r>
        <w:r w:rsidR="000807C7">
          <w:rPr>
            <w:webHidden/>
          </w:rPr>
          <w:fldChar w:fldCharType="separate"/>
        </w:r>
        <w:r w:rsidR="006E4FC1">
          <w:rPr>
            <w:webHidden/>
          </w:rPr>
          <w:t>37</w:t>
        </w:r>
        <w:r w:rsidR="000807C7">
          <w:rPr>
            <w:webHidden/>
          </w:rPr>
          <w:fldChar w:fldCharType="end"/>
        </w:r>
      </w:hyperlink>
    </w:p>
    <w:p w14:paraId="7B8CE16B" w14:textId="77777777" w:rsidR="000807C7" w:rsidRDefault="000B07EA">
      <w:pPr>
        <w:pStyle w:val="TOC3"/>
        <w:rPr>
          <w:rFonts w:asciiTheme="minorHAnsi" w:eastAsiaTheme="minorEastAsia" w:hAnsiTheme="minorHAnsi" w:cstheme="minorBidi"/>
          <w:szCs w:val="22"/>
          <w:lang w:eastAsia="en-GB"/>
        </w:rPr>
      </w:pPr>
      <w:hyperlink w:anchor="_Toc517968066" w:history="1">
        <w:r w:rsidR="000807C7" w:rsidRPr="00085738">
          <w:rPr>
            <w:rStyle w:val="Hyperlink"/>
          </w:rPr>
          <w:t>9.2.1. AML/CFT supervision and mitigation of ML/TF risks at group level</w:t>
        </w:r>
        <w:r w:rsidR="000807C7">
          <w:rPr>
            <w:webHidden/>
          </w:rPr>
          <w:tab/>
        </w:r>
        <w:r w:rsidR="000807C7">
          <w:rPr>
            <w:webHidden/>
          </w:rPr>
          <w:fldChar w:fldCharType="begin"/>
        </w:r>
        <w:r w:rsidR="000807C7">
          <w:rPr>
            <w:webHidden/>
          </w:rPr>
          <w:instrText xml:space="preserve"> PAGEREF _Toc517968066 \h </w:instrText>
        </w:r>
        <w:r w:rsidR="000807C7">
          <w:rPr>
            <w:webHidden/>
          </w:rPr>
        </w:r>
        <w:r w:rsidR="000807C7">
          <w:rPr>
            <w:webHidden/>
          </w:rPr>
          <w:fldChar w:fldCharType="separate"/>
        </w:r>
        <w:r w:rsidR="006E4FC1">
          <w:rPr>
            <w:webHidden/>
          </w:rPr>
          <w:t>39</w:t>
        </w:r>
        <w:r w:rsidR="000807C7">
          <w:rPr>
            <w:webHidden/>
          </w:rPr>
          <w:fldChar w:fldCharType="end"/>
        </w:r>
      </w:hyperlink>
    </w:p>
    <w:p w14:paraId="66B0CB04" w14:textId="77777777" w:rsidR="000807C7" w:rsidRDefault="000B07EA">
      <w:pPr>
        <w:pStyle w:val="TOC3"/>
        <w:rPr>
          <w:rFonts w:asciiTheme="minorHAnsi" w:eastAsiaTheme="minorEastAsia" w:hAnsiTheme="minorHAnsi" w:cstheme="minorBidi"/>
          <w:szCs w:val="22"/>
          <w:lang w:eastAsia="en-GB"/>
        </w:rPr>
      </w:pPr>
      <w:hyperlink w:anchor="_Toc517968067" w:history="1">
        <w:r w:rsidR="000807C7" w:rsidRPr="00085738">
          <w:rPr>
            <w:rStyle w:val="Hyperlink"/>
          </w:rPr>
          <w:t>9.2.2. AML/CFT Supervision of life insurers and intermediaries sharing the same risk profile and characteristics</w:t>
        </w:r>
        <w:r w:rsidR="000807C7">
          <w:rPr>
            <w:webHidden/>
          </w:rPr>
          <w:tab/>
        </w:r>
        <w:r w:rsidR="000807C7">
          <w:rPr>
            <w:webHidden/>
          </w:rPr>
          <w:fldChar w:fldCharType="begin"/>
        </w:r>
        <w:r w:rsidR="000807C7">
          <w:rPr>
            <w:webHidden/>
          </w:rPr>
          <w:instrText xml:space="preserve"> PAGEREF _Toc517968067 \h </w:instrText>
        </w:r>
        <w:r w:rsidR="000807C7">
          <w:rPr>
            <w:webHidden/>
          </w:rPr>
        </w:r>
        <w:r w:rsidR="000807C7">
          <w:rPr>
            <w:webHidden/>
          </w:rPr>
          <w:fldChar w:fldCharType="separate"/>
        </w:r>
        <w:r w:rsidR="006E4FC1">
          <w:rPr>
            <w:webHidden/>
          </w:rPr>
          <w:t>41</w:t>
        </w:r>
        <w:r w:rsidR="000807C7">
          <w:rPr>
            <w:webHidden/>
          </w:rPr>
          <w:fldChar w:fldCharType="end"/>
        </w:r>
      </w:hyperlink>
    </w:p>
    <w:p w14:paraId="2769501E" w14:textId="77777777" w:rsidR="000807C7" w:rsidRDefault="000B07EA">
      <w:pPr>
        <w:pStyle w:val="TOC1"/>
        <w:rPr>
          <w:rFonts w:asciiTheme="minorHAnsi" w:eastAsiaTheme="minorEastAsia" w:hAnsiTheme="minorHAnsi" w:cstheme="minorBidi"/>
          <w:b w:val="0"/>
          <w:szCs w:val="22"/>
          <w:lang w:eastAsia="en-GB"/>
        </w:rPr>
      </w:pPr>
      <w:hyperlink w:anchor="_Toc517968068" w:history="1">
        <w:r w:rsidR="000807C7" w:rsidRPr="00085738">
          <w:rPr>
            <w:rStyle w:val="Hyperlink"/>
          </w:rPr>
          <w:t>10. SUPERVISION OF THE RISK BASED APPROACH</w:t>
        </w:r>
        <w:r w:rsidR="000807C7">
          <w:rPr>
            <w:webHidden/>
          </w:rPr>
          <w:tab/>
        </w:r>
        <w:r w:rsidR="000807C7">
          <w:rPr>
            <w:webHidden/>
          </w:rPr>
          <w:fldChar w:fldCharType="begin"/>
        </w:r>
        <w:r w:rsidR="000807C7">
          <w:rPr>
            <w:webHidden/>
          </w:rPr>
          <w:instrText xml:space="preserve"> PAGEREF _Toc517968068 \h </w:instrText>
        </w:r>
        <w:r w:rsidR="000807C7">
          <w:rPr>
            <w:webHidden/>
          </w:rPr>
        </w:r>
        <w:r w:rsidR="000807C7">
          <w:rPr>
            <w:webHidden/>
          </w:rPr>
          <w:fldChar w:fldCharType="separate"/>
        </w:r>
        <w:r w:rsidR="006E4FC1">
          <w:rPr>
            <w:webHidden/>
          </w:rPr>
          <w:t>41</w:t>
        </w:r>
        <w:r w:rsidR="000807C7">
          <w:rPr>
            <w:webHidden/>
          </w:rPr>
          <w:fldChar w:fldCharType="end"/>
        </w:r>
      </w:hyperlink>
    </w:p>
    <w:p w14:paraId="0E334573" w14:textId="77777777" w:rsidR="000807C7" w:rsidRDefault="000B07EA">
      <w:pPr>
        <w:pStyle w:val="TOC2"/>
        <w:rPr>
          <w:rFonts w:asciiTheme="minorHAnsi" w:eastAsiaTheme="minorEastAsia" w:hAnsiTheme="minorHAnsi" w:cstheme="minorBidi"/>
          <w:szCs w:val="22"/>
          <w:lang w:eastAsia="en-GB"/>
        </w:rPr>
      </w:pPr>
      <w:hyperlink w:anchor="_Toc517968069" w:history="1">
        <w:r w:rsidR="000807C7" w:rsidRPr="00085738">
          <w:rPr>
            <w:rStyle w:val="Hyperlink"/>
          </w:rPr>
          <w:t>10.1. General Approach</w:t>
        </w:r>
        <w:r w:rsidR="000807C7">
          <w:rPr>
            <w:webHidden/>
          </w:rPr>
          <w:tab/>
        </w:r>
        <w:r w:rsidR="000807C7">
          <w:rPr>
            <w:webHidden/>
          </w:rPr>
          <w:fldChar w:fldCharType="begin"/>
        </w:r>
        <w:r w:rsidR="000807C7">
          <w:rPr>
            <w:webHidden/>
          </w:rPr>
          <w:instrText xml:space="preserve"> PAGEREF _Toc517968069 \h </w:instrText>
        </w:r>
        <w:r w:rsidR="000807C7">
          <w:rPr>
            <w:webHidden/>
          </w:rPr>
        </w:r>
        <w:r w:rsidR="000807C7">
          <w:rPr>
            <w:webHidden/>
          </w:rPr>
          <w:fldChar w:fldCharType="separate"/>
        </w:r>
        <w:r w:rsidR="006E4FC1">
          <w:rPr>
            <w:webHidden/>
          </w:rPr>
          <w:t>41</w:t>
        </w:r>
        <w:r w:rsidR="000807C7">
          <w:rPr>
            <w:webHidden/>
          </w:rPr>
          <w:fldChar w:fldCharType="end"/>
        </w:r>
      </w:hyperlink>
    </w:p>
    <w:p w14:paraId="5FFC093E" w14:textId="77777777" w:rsidR="000807C7" w:rsidRDefault="000B07EA">
      <w:pPr>
        <w:pStyle w:val="TOC2"/>
        <w:rPr>
          <w:rFonts w:asciiTheme="minorHAnsi" w:eastAsiaTheme="minorEastAsia" w:hAnsiTheme="minorHAnsi" w:cstheme="minorBidi"/>
          <w:szCs w:val="22"/>
          <w:lang w:eastAsia="en-GB"/>
        </w:rPr>
      </w:pPr>
      <w:hyperlink w:anchor="_Toc517968070" w:history="1">
        <w:r w:rsidR="000807C7" w:rsidRPr="00085738">
          <w:rPr>
            <w:rStyle w:val="Hyperlink"/>
          </w:rPr>
          <w:t>10.2. Training and awareness</w:t>
        </w:r>
        <w:r w:rsidR="000807C7">
          <w:rPr>
            <w:webHidden/>
          </w:rPr>
          <w:tab/>
        </w:r>
        <w:r w:rsidR="000807C7">
          <w:rPr>
            <w:webHidden/>
          </w:rPr>
          <w:fldChar w:fldCharType="begin"/>
        </w:r>
        <w:r w:rsidR="000807C7">
          <w:rPr>
            <w:webHidden/>
          </w:rPr>
          <w:instrText xml:space="preserve"> PAGEREF _Toc517968070 \h </w:instrText>
        </w:r>
        <w:r w:rsidR="000807C7">
          <w:rPr>
            <w:webHidden/>
          </w:rPr>
        </w:r>
        <w:r w:rsidR="000807C7">
          <w:rPr>
            <w:webHidden/>
          </w:rPr>
          <w:fldChar w:fldCharType="separate"/>
        </w:r>
        <w:r w:rsidR="006E4FC1">
          <w:rPr>
            <w:webHidden/>
          </w:rPr>
          <w:t>43</w:t>
        </w:r>
        <w:r w:rsidR="000807C7">
          <w:rPr>
            <w:webHidden/>
          </w:rPr>
          <w:fldChar w:fldCharType="end"/>
        </w:r>
      </w:hyperlink>
    </w:p>
    <w:p w14:paraId="62FB7FC4" w14:textId="77777777" w:rsidR="000807C7" w:rsidRDefault="000B07EA">
      <w:pPr>
        <w:pStyle w:val="TOC2"/>
        <w:rPr>
          <w:rFonts w:asciiTheme="minorHAnsi" w:eastAsiaTheme="minorEastAsia" w:hAnsiTheme="minorHAnsi" w:cstheme="minorBidi"/>
          <w:szCs w:val="22"/>
          <w:lang w:eastAsia="en-GB"/>
        </w:rPr>
      </w:pPr>
      <w:hyperlink w:anchor="_Toc517968071" w:history="1">
        <w:r w:rsidR="000807C7" w:rsidRPr="00085738">
          <w:rPr>
            <w:rStyle w:val="Hyperlink"/>
          </w:rPr>
          <w:t>10.3. Guidance</w:t>
        </w:r>
        <w:r w:rsidR="000807C7">
          <w:rPr>
            <w:webHidden/>
          </w:rPr>
          <w:tab/>
        </w:r>
        <w:r w:rsidR="000807C7">
          <w:rPr>
            <w:webHidden/>
          </w:rPr>
          <w:fldChar w:fldCharType="begin"/>
        </w:r>
        <w:r w:rsidR="000807C7">
          <w:rPr>
            <w:webHidden/>
          </w:rPr>
          <w:instrText xml:space="preserve"> PAGEREF _Toc517968071 \h </w:instrText>
        </w:r>
        <w:r w:rsidR="000807C7">
          <w:rPr>
            <w:webHidden/>
          </w:rPr>
        </w:r>
        <w:r w:rsidR="000807C7">
          <w:rPr>
            <w:webHidden/>
          </w:rPr>
          <w:fldChar w:fldCharType="separate"/>
        </w:r>
        <w:r w:rsidR="006E4FC1">
          <w:rPr>
            <w:webHidden/>
          </w:rPr>
          <w:t>43</w:t>
        </w:r>
        <w:r w:rsidR="000807C7">
          <w:rPr>
            <w:webHidden/>
          </w:rPr>
          <w:fldChar w:fldCharType="end"/>
        </w:r>
      </w:hyperlink>
    </w:p>
    <w:p w14:paraId="65615FC9" w14:textId="77777777" w:rsidR="000807C7" w:rsidRDefault="000B07EA">
      <w:pPr>
        <w:pStyle w:val="TOC2"/>
        <w:rPr>
          <w:rFonts w:asciiTheme="minorHAnsi" w:eastAsiaTheme="minorEastAsia" w:hAnsiTheme="minorHAnsi" w:cstheme="minorBidi"/>
          <w:szCs w:val="22"/>
          <w:lang w:eastAsia="en-GB"/>
        </w:rPr>
      </w:pPr>
      <w:hyperlink w:anchor="_Toc517968072" w:history="1">
        <w:r w:rsidR="000807C7" w:rsidRPr="00085738">
          <w:rPr>
            <w:rStyle w:val="Hyperlink"/>
          </w:rPr>
          <w:t>10.4. Supervisory enforcement actions and sanction</w:t>
        </w:r>
        <w:r w:rsidR="000807C7">
          <w:rPr>
            <w:webHidden/>
          </w:rPr>
          <w:tab/>
        </w:r>
        <w:r w:rsidR="000807C7">
          <w:rPr>
            <w:webHidden/>
          </w:rPr>
          <w:fldChar w:fldCharType="begin"/>
        </w:r>
        <w:r w:rsidR="000807C7">
          <w:rPr>
            <w:webHidden/>
          </w:rPr>
          <w:instrText xml:space="preserve"> PAGEREF _Toc517968072 \h </w:instrText>
        </w:r>
        <w:r w:rsidR="000807C7">
          <w:rPr>
            <w:webHidden/>
          </w:rPr>
        </w:r>
        <w:r w:rsidR="000807C7">
          <w:rPr>
            <w:webHidden/>
          </w:rPr>
          <w:fldChar w:fldCharType="separate"/>
        </w:r>
        <w:r w:rsidR="006E4FC1">
          <w:rPr>
            <w:webHidden/>
          </w:rPr>
          <w:t>44</w:t>
        </w:r>
        <w:r w:rsidR="000807C7">
          <w:rPr>
            <w:webHidden/>
          </w:rPr>
          <w:fldChar w:fldCharType="end"/>
        </w:r>
      </w:hyperlink>
    </w:p>
    <w:p w14:paraId="63A49D33" w14:textId="77777777" w:rsidR="000807C7" w:rsidRDefault="000B07EA">
      <w:pPr>
        <w:pStyle w:val="TOC1"/>
        <w:rPr>
          <w:rFonts w:asciiTheme="minorHAnsi" w:eastAsiaTheme="minorEastAsia" w:hAnsiTheme="minorHAnsi" w:cstheme="minorBidi"/>
          <w:b w:val="0"/>
          <w:szCs w:val="22"/>
          <w:lang w:eastAsia="en-GB"/>
        </w:rPr>
      </w:pPr>
      <w:hyperlink w:anchor="_Toc517968073" w:history="1">
        <w:r w:rsidR="000807C7" w:rsidRPr="00085738">
          <w:rPr>
            <w:rStyle w:val="Hyperlink"/>
          </w:rPr>
          <w:t>Annex A. NON-LIFE INSURANCE</w:t>
        </w:r>
        <w:r w:rsidR="000807C7">
          <w:rPr>
            <w:webHidden/>
          </w:rPr>
          <w:tab/>
        </w:r>
        <w:r w:rsidR="000807C7">
          <w:rPr>
            <w:webHidden/>
          </w:rPr>
          <w:fldChar w:fldCharType="begin"/>
        </w:r>
        <w:r w:rsidR="000807C7">
          <w:rPr>
            <w:webHidden/>
          </w:rPr>
          <w:instrText xml:space="preserve"> PAGEREF _Toc517968073 \h </w:instrText>
        </w:r>
        <w:r w:rsidR="000807C7">
          <w:rPr>
            <w:webHidden/>
          </w:rPr>
        </w:r>
        <w:r w:rsidR="000807C7">
          <w:rPr>
            <w:webHidden/>
          </w:rPr>
          <w:fldChar w:fldCharType="separate"/>
        </w:r>
        <w:r w:rsidR="006E4FC1">
          <w:rPr>
            <w:webHidden/>
          </w:rPr>
          <w:t>47</w:t>
        </w:r>
        <w:r w:rsidR="000807C7">
          <w:rPr>
            <w:webHidden/>
          </w:rPr>
          <w:fldChar w:fldCharType="end"/>
        </w:r>
      </w:hyperlink>
    </w:p>
    <w:p w14:paraId="3D2F9F0B" w14:textId="77777777" w:rsidR="000807C7" w:rsidRDefault="000B07EA">
      <w:pPr>
        <w:pStyle w:val="TOC1"/>
        <w:rPr>
          <w:rFonts w:asciiTheme="minorHAnsi" w:eastAsiaTheme="minorEastAsia" w:hAnsiTheme="minorHAnsi" w:cstheme="minorBidi"/>
          <w:b w:val="0"/>
          <w:szCs w:val="22"/>
          <w:lang w:eastAsia="en-GB"/>
        </w:rPr>
      </w:pPr>
      <w:hyperlink w:anchor="_Toc517968074" w:history="1">
        <w:r w:rsidR="000807C7" w:rsidRPr="00085738">
          <w:rPr>
            <w:rStyle w:val="Hyperlink"/>
          </w:rPr>
          <w:t>Annex B. REINSURANCE</w:t>
        </w:r>
        <w:r w:rsidR="000807C7">
          <w:rPr>
            <w:webHidden/>
          </w:rPr>
          <w:tab/>
        </w:r>
        <w:r w:rsidR="000807C7">
          <w:rPr>
            <w:webHidden/>
          </w:rPr>
          <w:fldChar w:fldCharType="begin"/>
        </w:r>
        <w:r w:rsidR="000807C7">
          <w:rPr>
            <w:webHidden/>
          </w:rPr>
          <w:instrText xml:space="preserve"> PAGEREF _Toc517968074 \h </w:instrText>
        </w:r>
        <w:r w:rsidR="000807C7">
          <w:rPr>
            <w:webHidden/>
          </w:rPr>
        </w:r>
        <w:r w:rsidR="000807C7">
          <w:rPr>
            <w:webHidden/>
          </w:rPr>
          <w:fldChar w:fldCharType="separate"/>
        </w:r>
        <w:r w:rsidR="006E4FC1">
          <w:rPr>
            <w:webHidden/>
          </w:rPr>
          <w:t>49</w:t>
        </w:r>
        <w:r w:rsidR="000807C7">
          <w:rPr>
            <w:webHidden/>
          </w:rPr>
          <w:fldChar w:fldCharType="end"/>
        </w:r>
      </w:hyperlink>
    </w:p>
    <w:p w14:paraId="66F549F4" w14:textId="77777777" w:rsidR="000807C7" w:rsidRDefault="000B07EA">
      <w:pPr>
        <w:pStyle w:val="TOC1"/>
        <w:rPr>
          <w:rFonts w:asciiTheme="minorHAnsi" w:eastAsiaTheme="minorEastAsia" w:hAnsiTheme="minorHAnsi" w:cstheme="minorBidi"/>
          <w:b w:val="0"/>
          <w:szCs w:val="22"/>
          <w:lang w:eastAsia="en-GB"/>
        </w:rPr>
      </w:pPr>
      <w:hyperlink w:anchor="_Toc517968075" w:history="1">
        <w:r w:rsidR="000807C7" w:rsidRPr="00085738">
          <w:rPr>
            <w:rStyle w:val="Hyperlink"/>
          </w:rPr>
          <w:t>Annex C. EXAMPLES OF RISK FACTORS RELEVANT FOR THE ML/TF RISK ASSESSMENTS OF INSURANCE ENTITIES</w:t>
        </w:r>
        <w:r w:rsidR="000807C7">
          <w:rPr>
            <w:webHidden/>
          </w:rPr>
          <w:tab/>
        </w:r>
        <w:r w:rsidR="000807C7">
          <w:rPr>
            <w:webHidden/>
          </w:rPr>
          <w:fldChar w:fldCharType="begin"/>
        </w:r>
        <w:r w:rsidR="000807C7">
          <w:rPr>
            <w:webHidden/>
          </w:rPr>
          <w:instrText xml:space="preserve"> PAGEREF _Toc517968075 \h </w:instrText>
        </w:r>
        <w:r w:rsidR="000807C7">
          <w:rPr>
            <w:webHidden/>
          </w:rPr>
        </w:r>
        <w:r w:rsidR="000807C7">
          <w:rPr>
            <w:webHidden/>
          </w:rPr>
          <w:fldChar w:fldCharType="separate"/>
        </w:r>
        <w:r w:rsidR="006E4FC1">
          <w:rPr>
            <w:webHidden/>
          </w:rPr>
          <w:t>51</w:t>
        </w:r>
        <w:r w:rsidR="000807C7">
          <w:rPr>
            <w:webHidden/>
          </w:rPr>
          <w:fldChar w:fldCharType="end"/>
        </w:r>
      </w:hyperlink>
    </w:p>
    <w:p w14:paraId="6B22F120" w14:textId="77777777" w:rsidR="000807C7" w:rsidRDefault="000B07EA">
      <w:pPr>
        <w:pStyle w:val="TOC1"/>
        <w:rPr>
          <w:rFonts w:asciiTheme="minorHAnsi" w:eastAsiaTheme="minorEastAsia" w:hAnsiTheme="minorHAnsi" w:cstheme="minorBidi"/>
          <w:b w:val="0"/>
          <w:szCs w:val="22"/>
          <w:lang w:eastAsia="en-GB"/>
        </w:rPr>
      </w:pPr>
      <w:hyperlink w:anchor="_Toc517968076" w:history="1">
        <w:r w:rsidR="000807C7" w:rsidRPr="00085738">
          <w:rPr>
            <w:rStyle w:val="Hyperlink"/>
          </w:rPr>
          <w:t>Annex D. EXAMPLES OF DIFFERENT SUPERVISORY PRACTICES FOR THE IMPLEMENTATION OF THE RBA</w:t>
        </w:r>
        <w:r w:rsidR="000807C7">
          <w:rPr>
            <w:webHidden/>
          </w:rPr>
          <w:tab/>
        </w:r>
        <w:r w:rsidR="000807C7">
          <w:rPr>
            <w:webHidden/>
          </w:rPr>
          <w:fldChar w:fldCharType="begin"/>
        </w:r>
        <w:r w:rsidR="000807C7">
          <w:rPr>
            <w:webHidden/>
          </w:rPr>
          <w:instrText xml:space="preserve"> PAGEREF _Toc517968076 \h </w:instrText>
        </w:r>
        <w:r w:rsidR="000807C7">
          <w:rPr>
            <w:webHidden/>
          </w:rPr>
        </w:r>
        <w:r w:rsidR="000807C7">
          <w:rPr>
            <w:webHidden/>
          </w:rPr>
          <w:fldChar w:fldCharType="separate"/>
        </w:r>
        <w:r w:rsidR="006E4FC1">
          <w:rPr>
            <w:webHidden/>
          </w:rPr>
          <w:t>60</w:t>
        </w:r>
        <w:r w:rsidR="000807C7">
          <w:rPr>
            <w:webHidden/>
          </w:rPr>
          <w:fldChar w:fldCharType="end"/>
        </w:r>
      </w:hyperlink>
    </w:p>
    <w:p w14:paraId="36895083" w14:textId="77777777" w:rsidR="000807C7" w:rsidRDefault="000B07EA">
      <w:pPr>
        <w:pStyle w:val="TOC1"/>
        <w:rPr>
          <w:rFonts w:asciiTheme="minorHAnsi" w:eastAsiaTheme="minorEastAsia" w:hAnsiTheme="minorHAnsi" w:cstheme="minorBidi"/>
          <w:b w:val="0"/>
          <w:szCs w:val="22"/>
          <w:lang w:eastAsia="en-GB"/>
        </w:rPr>
      </w:pPr>
      <w:hyperlink w:anchor="_Toc517968077" w:history="1">
        <w:r w:rsidR="000807C7" w:rsidRPr="00085738">
          <w:rPr>
            <w:rStyle w:val="Hyperlink"/>
          </w:rPr>
          <w:t>Annex E. GUIDANCE PROVIDED BY SUPERVISORS TO PRIVATE SECTOR FOR THE APPLICATION OF THE RBA</w:t>
        </w:r>
        <w:r w:rsidR="000807C7">
          <w:rPr>
            <w:webHidden/>
          </w:rPr>
          <w:tab/>
        </w:r>
        <w:r w:rsidR="000807C7">
          <w:rPr>
            <w:webHidden/>
          </w:rPr>
          <w:fldChar w:fldCharType="begin"/>
        </w:r>
        <w:r w:rsidR="000807C7">
          <w:rPr>
            <w:webHidden/>
          </w:rPr>
          <w:instrText xml:space="preserve"> PAGEREF _Toc517968077 \h </w:instrText>
        </w:r>
        <w:r w:rsidR="000807C7">
          <w:rPr>
            <w:webHidden/>
          </w:rPr>
        </w:r>
        <w:r w:rsidR="000807C7">
          <w:rPr>
            <w:webHidden/>
          </w:rPr>
          <w:fldChar w:fldCharType="separate"/>
        </w:r>
        <w:r w:rsidR="006E4FC1">
          <w:rPr>
            <w:webHidden/>
          </w:rPr>
          <w:t>64</w:t>
        </w:r>
        <w:r w:rsidR="000807C7">
          <w:rPr>
            <w:webHidden/>
          </w:rPr>
          <w:fldChar w:fldCharType="end"/>
        </w:r>
      </w:hyperlink>
    </w:p>
    <w:p w14:paraId="6E4E2ECA" w14:textId="77777777" w:rsidR="00352F37" w:rsidRPr="001A57A3" w:rsidRDefault="00352F37" w:rsidP="00352F37">
      <w:pPr>
        <w:tabs>
          <w:tab w:val="clear" w:pos="850"/>
          <w:tab w:val="clear" w:pos="1191"/>
          <w:tab w:val="clear" w:pos="1531"/>
        </w:tabs>
        <w:rPr>
          <w:b/>
        </w:rPr>
      </w:pPr>
      <w:r>
        <w:rPr>
          <w:b/>
        </w:rPr>
        <w:fldChar w:fldCharType="end"/>
      </w:r>
    </w:p>
    <w:p w14:paraId="6E4E2ECB" w14:textId="77777777" w:rsidR="00352F37" w:rsidRDefault="00352F37" w:rsidP="00352F37">
      <w:pPr>
        <w:tabs>
          <w:tab w:val="clear" w:pos="850"/>
          <w:tab w:val="clear" w:pos="1191"/>
          <w:tab w:val="clear" w:pos="1531"/>
        </w:tabs>
        <w:jc w:val="left"/>
        <w:rPr>
          <w:b/>
          <w:bCs/>
          <w:color w:val="4E81BD"/>
          <w:sz w:val="24"/>
        </w:rPr>
      </w:pPr>
    </w:p>
    <w:p w14:paraId="6E4E2ECC" w14:textId="77777777" w:rsidR="00352F37" w:rsidRDefault="00352F37" w:rsidP="00352F37">
      <w:pPr>
        <w:tabs>
          <w:tab w:val="clear" w:pos="850"/>
          <w:tab w:val="clear" w:pos="1191"/>
          <w:tab w:val="clear" w:pos="1531"/>
        </w:tabs>
        <w:jc w:val="left"/>
        <w:rPr>
          <w:rFonts w:eastAsia="SimSun"/>
          <w:b/>
          <w:color w:val="548DD4" w:themeColor="text2" w:themeTint="99"/>
        </w:rPr>
      </w:pPr>
      <w:bookmarkStart w:id="1" w:name="_Toc509841904"/>
      <w:r>
        <w:rPr>
          <w:b/>
          <w:color w:val="548DD4" w:themeColor="text2" w:themeTint="99"/>
        </w:rPr>
        <w:br w:type="page"/>
      </w:r>
      <w:bookmarkStart w:id="2" w:name="_GoBack"/>
      <w:bookmarkEnd w:id="2"/>
    </w:p>
    <w:p w14:paraId="6E4E2ECD" w14:textId="77777777" w:rsidR="00352F37" w:rsidRPr="00563347" w:rsidRDefault="00352F37" w:rsidP="00352F37">
      <w:pPr>
        <w:pStyle w:val="Para0"/>
        <w:ind w:left="0"/>
        <w:jc w:val="center"/>
        <w:rPr>
          <w:b/>
          <w:color w:val="548DD4" w:themeColor="text2" w:themeTint="99"/>
        </w:rPr>
      </w:pPr>
      <w:r w:rsidRPr="00563347">
        <w:rPr>
          <w:b/>
          <w:color w:val="548DD4" w:themeColor="text2" w:themeTint="99"/>
        </w:rPr>
        <w:lastRenderedPageBreak/>
        <w:t>TABLE OF ACRONYMS</w:t>
      </w:r>
      <w:bookmarkEnd w:id="0"/>
      <w:bookmarkEnd w:id="1"/>
    </w:p>
    <w:tbl>
      <w:tblPr>
        <w:tblW w:w="9628" w:type="dxa"/>
        <w:tblLook w:val="04A0" w:firstRow="1" w:lastRow="0" w:firstColumn="1" w:lastColumn="0" w:noHBand="0" w:noVBand="1"/>
      </w:tblPr>
      <w:tblGrid>
        <w:gridCol w:w="2530"/>
        <w:gridCol w:w="7098"/>
      </w:tblGrid>
      <w:tr w:rsidR="00352F37" w14:paraId="6E4E2ED0" w14:textId="77777777" w:rsidTr="007667A1">
        <w:tc>
          <w:tcPr>
            <w:tcW w:w="2518" w:type="dxa"/>
            <w:hideMark/>
          </w:tcPr>
          <w:p w14:paraId="6E4E2ECE" w14:textId="77777777" w:rsidR="00352F37" w:rsidRDefault="00352F37" w:rsidP="007667A1">
            <w:pPr>
              <w:pStyle w:val="Para0"/>
              <w:rPr>
                <w:lang w:val="en-US"/>
              </w:rPr>
            </w:pPr>
            <w:r>
              <w:rPr>
                <w:lang w:val="en-US"/>
              </w:rPr>
              <w:t>AML/CFT</w:t>
            </w:r>
          </w:p>
        </w:tc>
        <w:tc>
          <w:tcPr>
            <w:tcW w:w="7110" w:type="dxa"/>
            <w:hideMark/>
          </w:tcPr>
          <w:p w14:paraId="6E4E2ECF" w14:textId="77777777" w:rsidR="00352F37" w:rsidRDefault="00352F37" w:rsidP="007667A1">
            <w:pPr>
              <w:pStyle w:val="Para0"/>
              <w:rPr>
                <w:lang w:val="en-US"/>
              </w:rPr>
            </w:pPr>
            <w:r>
              <w:rPr>
                <w:lang w:val="en-US"/>
              </w:rPr>
              <w:t>Anti-Money Laundering / Countering the Financing of Terrorism</w:t>
            </w:r>
          </w:p>
        </w:tc>
      </w:tr>
      <w:tr w:rsidR="00352F37" w14:paraId="6E4E2ED3" w14:textId="77777777" w:rsidTr="007667A1">
        <w:trPr>
          <w:trHeight w:val="469"/>
        </w:trPr>
        <w:tc>
          <w:tcPr>
            <w:tcW w:w="2518" w:type="dxa"/>
            <w:hideMark/>
          </w:tcPr>
          <w:p w14:paraId="6E4E2ED1" w14:textId="77777777" w:rsidR="00352F37" w:rsidRDefault="00352F37" w:rsidP="007667A1">
            <w:pPr>
              <w:pStyle w:val="Para0"/>
              <w:rPr>
                <w:lang w:val="en-US"/>
              </w:rPr>
            </w:pPr>
            <w:r>
              <w:rPr>
                <w:lang w:val="en-US"/>
              </w:rPr>
              <w:t>CDD</w:t>
            </w:r>
          </w:p>
        </w:tc>
        <w:tc>
          <w:tcPr>
            <w:tcW w:w="7110" w:type="dxa"/>
            <w:hideMark/>
          </w:tcPr>
          <w:p w14:paraId="6E4E2ED2" w14:textId="77777777" w:rsidR="00352F37" w:rsidRDefault="00352F37" w:rsidP="007667A1">
            <w:pPr>
              <w:pStyle w:val="Para0"/>
              <w:rPr>
                <w:lang w:val="en-US"/>
              </w:rPr>
            </w:pPr>
            <w:r>
              <w:rPr>
                <w:lang w:val="en-US"/>
              </w:rPr>
              <w:t>Customer Due Diligence</w:t>
            </w:r>
          </w:p>
        </w:tc>
      </w:tr>
      <w:tr w:rsidR="00352F37" w14:paraId="6E4E2ED6" w14:textId="77777777" w:rsidTr="007667A1">
        <w:tc>
          <w:tcPr>
            <w:tcW w:w="2518" w:type="dxa"/>
          </w:tcPr>
          <w:p w14:paraId="6E4E2ED4" w14:textId="77777777" w:rsidR="00352F37" w:rsidRDefault="00352F37" w:rsidP="007667A1">
            <w:pPr>
              <w:pStyle w:val="Para0"/>
              <w:rPr>
                <w:lang w:val="en-US"/>
              </w:rPr>
            </w:pPr>
            <w:r>
              <w:rPr>
                <w:lang w:val="en-US"/>
              </w:rPr>
              <w:t xml:space="preserve">EDD </w:t>
            </w:r>
          </w:p>
        </w:tc>
        <w:tc>
          <w:tcPr>
            <w:tcW w:w="7110" w:type="dxa"/>
          </w:tcPr>
          <w:p w14:paraId="6E4E2ED5" w14:textId="77777777" w:rsidR="00352F37" w:rsidRPr="00963B31" w:rsidRDefault="00352F37" w:rsidP="007667A1">
            <w:pPr>
              <w:pStyle w:val="Para0"/>
              <w:rPr>
                <w:lang w:val="en-US"/>
              </w:rPr>
            </w:pPr>
            <w:r w:rsidRPr="00963B31">
              <w:rPr>
                <w:lang w:val="en-US"/>
              </w:rPr>
              <w:t xml:space="preserve">Enhanced </w:t>
            </w:r>
            <w:r>
              <w:rPr>
                <w:lang w:val="en-US"/>
              </w:rPr>
              <w:t>D</w:t>
            </w:r>
            <w:r w:rsidRPr="00963B31">
              <w:rPr>
                <w:lang w:val="en-US"/>
              </w:rPr>
              <w:t xml:space="preserve">ue </w:t>
            </w:r>
            <w:r>
              <w:rPr>
                <w:lang w:val="en-US"/>
              </w:rPr>
              <w:t>D</w:t>
            </w:r>
            <w:r w:rsidRPr="00963B31">
              <w:rPr>
                <w:lang w:val="en-US"/>
              </w:rPr>
              <w:t>iligence</w:t>
            </w:r>
          </w:p>
        </w:tc>
      </w:tr>
      <w:tr w:rsidR="00352F37" w14:paraId="6E4E2ED9" w14:textId="77777777" w:rsidTr="007667A1">
        <w:tc>
          <w:tcPr>
            <w:tcW w:w="2518" w:type="dxa"/>
          </w:tcPr>
          <w:p w14:paraId="6E4E2ED7" w14:textId="77777777" w:rsidR="00352F37" w:rsidRDefault="00352F37" w:rsidP="007667A1">
            <w:pPr>
              <w:pStyle w:val="Para0"/>
              <w:rPr>
                <w:lang w:val="en-US"/>
              </w:rPr>
            </w:pPr>
            <w:r>
              <w:rPr>
                <w:lang w:val="en-US"/>
              </w:rPr>
              <w:t>FATF</w:t>
            </w:r>
          </w:p>
        </w:tc>
        <w:tc>
          <w:tcPr>
            <w:tcW w:w="7110" w:type="dxa"/>
          </w:tcPr>
          <w:p w14:paraId="6E4E2ED8" w14:textId="77777777" w:rsidR="00352F37" w:rsidRDefault="00352F37" w:rsidP="007667A1">
            <w:pPr>
              <w:pStyle w:val="Para0"/>
              <w:rPr>
                <w:lang w:val="en-US"/>
              </w:rPr>
            </w:pPr>
            <w:r>
              <w:rPr>
                <w:lang w:val="en-US"/>
              </w:rPr>
              <w:t>Financial Action Task Force</w:t>
            </w:r>
          </w:p>
        </w:tc>
      </w:tr>
      <w:tr w:rsidR="00352F37" w14:paraId="6E4E2EDC" w14:textId="77777777" w:rsidTr="007667A1">
        <w:tc>
          <w:tcPr>
            <w:tcW w:w="2518" w:type="dxa"/>
          </w:tcPr>
          <w:p w14:paraId="6E4E2EDA" w14:textId="77777777" w:rsidR="00352F37" w:rsidRDefault="00352F37" w:rsidP="007667A1">
            <w:pPr>
              <w:pStyle w:val="Para0"/>
              <w:rPr>
                <w:lang w:val="en-US"/>
              </w:rPr>
            </w:pPr>
            <w:r>
              <w:rPr>
                <w:lang w:val="en-US"/>
              </w:rPr>
              <w:t>FI</w:t>
            </w:r>
          </w:p>
        </w:tc>
        <w:tc>
          <w:tcPr>
            <w:tcW w:w="7110" w:type="dxa"/>
          </w:tcPr>
          <w:p w14:paraId="6E4E2EDB" w14:textId="77777777" w:rsidR="00352F37" w:rsidRDefault="00352F37" w:rsidP="007667A1">
            <w:pPr>
              <w:pStyle w:val="Para0"/>
              <w:rPr>
                <w:lang w:val="en-US"/>
              </w:rPr>
            </w:pPr>
            <w:r>
              <w:rPr>
                <w:lang w:val="en-US"/>
              </w:rPr>
              <w:t>Financial Institution</w:t>
            </w:r>
          </w:p>
        </w:tc>
      </w:tr>
      <w:tr w:rsidR="00352F37" w14:paraId="6E4E2EDF" w14:textId="77777777" w:rsidTr="007667A1">
        <w:tc>
          <w:tcPr>
            <w:tcW w:w="2518" w:type="dxa"/>
          </w:tcPr>
          <w:p w14:paraId="6E4E2EDD" w14:textId="77777777" w:rsidR="00352F37" w:rsidRDefault="00352F37" w:rsidP="007667A1">
            <w:pPr>
              <w:pStyle w:val="Para0"/>
              <w:rPr>
                <w:lang w:val="en-US"/>
              </w:rPr>
            </w:pPr>
            <w:r>
              <w:rPr>
                <w:lang w:val="en-US"/>
              </w:rPr>
              <w:t>FIU</w:t>
            </w:r>
          </w:p>
        </w:tc>
        <w:tc>
          <w:tcPr>
            <w:tcW w:w="7110" w:type="dxa"/>
          </w:tcPr>
          <w:p w14:paraId="6E4E2EDE" w14:textId="77777777" w:rsidR="00352F37" w:rsidRDefault="00352F37" w:rsidP="007667A1">
            <w:pPr>
              <w:pStyle w:val="Para0"/>
              <w:rPr>
                <w:lang w:val="en-US"/>
              </w:rPr>
            </w:pPr>
            <w:r>
              <w:rPr>
                <w:lang w:val="en-US"/>
              </w:rPr>
              <w:t>Financial Intelligence Unit</w:t>
            </w:r>
          </w:p>
        </w:tc>
      </w:tr>
      <w:tr w:rsidR="00352F37" w14:paraId="6E4E2EE2" w14:textId="77777777" w:rsidTr="007667A1">
        <w:tc>
          <w:tcPr>
            <w:tcW w:w="2518" w:type="dxa"/>
          </w:tcPr>
          <w:p w14:paraId="6E4E2EE0" w14:textId="77777777" w:rsidR="00352F37" w:rsidRDefault="00352F37" w:rsidP="007667A1">
            <w:pPr>
              <w:pStyle w:val="Para0"/>
              <w:rPr>
                <w:lang w:val="en-US"/>
              </w:rPr>
            </w:pPr>
            <w:r>
              <w:rPr>
                <w:lang w:val="en-US"/>
              </w:rPr>
              <w:t>IAIS</w:t>
            </w:r>
          </w:p>
        </w:tc>
        <w:tc>
          <w:tcPr>
            <w:tcW w:w="7110" w:type="dxa"/>
          </w:tcPr>
          <w:p w14:paraId="6E4E2EE1" w14:textId="77777777" w:rsidR="00352F37" w:rsidRDefault="00352F37" w:rsidP="007667A1">
            <w:pPr>
              <w:pStyle w:val="Para0"/>
              <w:rPr>
                <w:lang w:val="en-US"/>
              </w:rPr>
            </w:pPr>
            <w:r>
              <w:rPr>
                <w:lang w:val="en-US"/>
              </w:rPr>
              <w:t>International Association of Insurance Supervisors</w:t>
            </w:r>
          </w:p>
        </w:tc>
      </w:tr>
      <w:tr w:rsidR="00352F37" w14:paraId="6E4E2EE5" w14:textId="77777777" w:rsidTr="007667A1">
        <w:tc>
          <w:tcPr>
            <w:tcW w:w="2518" w:type="dxa"/>
          </w:tcPr>
          <w:p w14:paraId="6E4E2EE3" w14:textId="77777777" w:rsidR="00352F37" w:rsidRDefault="00352F37" w:rsidP="007667A1">
            <w:pPr>
              <w:pStyle w:val="Para0"/>
              <w:rPr>
                <w:lang w:val="en-US"/>
              </w:rPr>
            </w:pPr>
            <w:r>
              <w:rPr>
                <w:lang w:val="en-US"/>
              </w:rPr>
              <w:t>ICP</w:t>
            </w:r>
          </w:p>
        </w:tc>
        <w:tc>
          <w:tcPr>
            <w:tcW w:w="7110" w:type="dxa"/>
          </w:tcPr>
          <w:p w14:paraId="6E4E2EE4" w14:textId="77777777" w:rsidR="00352F37" w:rsidRDefault="00352F37" w:rsidP="007667A1">
            <w:pPr>
              <w:pStyle w:val="Para0"/>
              <w:rPr>
                <w:lang w:val="en-US"/>
              </w:rPr>
            </w:pPr>
            <w:r>
              <w:rPr>
                <w:lang w:val="en-US"/>
              </w:rPr>
              <w:t>IAIS Insurance Core Principle</w:t>
            </w:r>
          </w:p>
        </w:tc>
      </w:tr>
      <w:tr w:rsidR="00352F37" w14:paraId="6E4E2EE8" w14:textId="77777777" w:rsidTr="007667A1">
        <w:tc>
          <w:tcPr>
            <w:tcW w:w="2518" w:type="dxa"/>
            <w:hideMark/>
          </w:tcPr>
          <w:p w14:paraId="6E4E2EE6" w14:textId="77777777" w:rsidR="00352F37" w:rsidRDefault="00352F37" w:rsidP="007667A1">
            <w:pPr>
              <w:pStyle w:val="Para0"/>
              <w:rPr>
                <w:lang w:val="en-US"/>
              </w:rPr>
            </w:pPr>
            <w:r>
              <w:rPr>
                <w:lang w:val="en-US"/>
              </w:rPr>
              <w:t>INR.</w:t>
            </w:r>
          </w:p>
        </w:tc>
        <w:tc>
          <w:tcPr>
            <w:tcW w:w="7110" w:type="dxa"/>
            <w:hideMark/>
          </w:tcPr>
          <w:p w14:paraId="6E4E2EE7" w14:textId="77777777" w:rsidR="00352F37" w:rsidRDefault="00352F37" w:rsidP="007667A1">
            <w:pPr>
              <w:pStyle w:val="Para0"/>
              <w:rPr>
                <w:lang w:val="en-US"/>
              </w:rPr>
            </w:pPr>
            <w:r>
              <w:rPr>
                <w:lang w:val="en-US"/>
              </w:rPr>
              <w:t>Interpretive Note to Recommendation</w:t>
            </w:r>
          </w:p>
        </w:tc>
      </w:tr>
      <w:tr w:rsidR="00352F37" w14:paraId="6E4E2EEB" w14:textId="77777777" w:rsidTr="007667A1">
        <w:tc>
          <w:tcPr>
            <w:tcW w:w="2518" w:type="dxa"/>
          </w:tcPr>
          <w:p w14:paraId="6E4E2EE9" w14:textId="77777777" w:rsidR="00352F37" w:rsidRDefault="00352F37" w:rsidP="007667A1">
            <w:pPr>
              <w:pStyle w:val="Para0"/>
              <w:rPr>
                <w:lang w:val="en-US"/>
              </w:rPr>
            </w:pPr>
            <w:r>
              <w:rPr>
                <w:lang w:val="en-US"/>
              </w:rPr>
              <w:t>MER</w:t>
            </w:r>
          </w:p>
        </w:tc>
        <w:tc>
          <w:tcPr>
            <w:tcW w:w="7110" w:type="dxa"/>
          </w:tcPr>
          <w:p w14:paraId="6E4E2EEA" w14:textId="77777777" w:rsidR="00352F37" w:rsidRDefault="00352F37" w:rsidP="007667A1">
            <w:pPr>
              <w:pStyle w:val="Para0"/>
              <w:rPr>
                <w:lang w:val="en-US"/>
              </w:rPr>
            </w:pPr>
            <w:r>
              <w:rPr>
                <w:lang w:val="en-US"/>
              </w:rPr>
              <w:t>Mutual Evaluation Report</w:t>
            </w:r>
          </w:p>
        </w:tc>
      </w:tr>
      <w:tr w:rsidR="00352F37" w14:paraId="6E4E2EEE" w14:textId="77777777" w:rsidTr="007667A1">
        <w:tc>
          <w:tcPr>
            <w:tcW w:w="2518" w:type="dxa"/>
            <w:hideMark/>
          </w:tcPr>
          <w:p w14:paraId="6E4E2EEC" w14:textId="77777777" w:rsidR="00352F37" w:rsidRDefault="00352F37" w:rsidP="007667A1">
            <w:pPr>
              <w:pStyle w:val="Para0"/>
              <w:rPr>
                <w:lang w:val="en-US"/>
              </w:rPr>
            </w:pPr>
            <w:r>
              <w:rPr>
                <w:lang w:val="en-US"/>
              </w:rPr>
              <w:t>ML</w:t>
            </w:r>
          </w:p>
        </w:tc>
        <w:tc>
          <w:tcPr>
            <w:tcW w:w="7110" w:type="dxa"/>
            <w:hideMark/>
          </w:tcPr>
          <w:p w14:paraId="6E4E2EED" w14:textId="77777777" w:rsidR="00352F37" w:rsidRDefault="00352F37" w:rsidP="007667A1">
            <w:pPr>
              <w:pStyle w:val="Para0"/>
              <w:rPr>
                <w:lang w:val="en-US"/>
              </w:rPr>
            </w:pPr>
            <w:r>
              <w:rPr>
                <w:lang w:val="en-US"/>
              </w:rPr>
              <w:t>Money Laundering</w:t>
            </w:r>
          </w:p>
        </w:tc>
      </w:tr>
      <w:tr w:rsidR="00352F37" w14:paraId="6E4E2EF1" w14:textId="77777777" w:rsidTr="007667A1">
        <w:tc>
          <w:tcPr>
            <w:tcW w:w="2518" w:type="dxa"/>
          </w:tcPr>
          <w:p w14:paraId="6E4E2EEF" w14:textId="77777777" w:rsidR="00352F37" w:rsidRDefault="00352F37" w:rsidP="007667A1">
            <w:pPr>
              <w:pStyle w:val="Para0"/>
              <w:rPr>
                <w:lang w:val="en-US"/>
              </w:rPr>
            </w:pPr>
            <w:r>
              <w:rPr>
                <w:lang w:val="en-US"/>
              </w:rPr>
              <w:t>PF</w:t>
            </w:r>
          </w:p>
        </w:tc>
        <w:tc>
          <w:tcPr>
            <w:tcW w:w="7110" w:type="dxa"/>
          </w:tcPr>
          <w:p w14:paraId="6E4E2EF0" w14:textId="77777777" w:rsidR="00352F37" w:rsidRDefault="00352F37" w:rsidP="007667A1">
            <w:pPr>
              <w:pStyle w:val="Para0"/>
              <w:rPr>
                <w:lang w:val="en-US"/>
              </w:rPr>
            </w:pPr>
            <w:r>
              <w:rPr>
                <w:lang w:val="en-US"/>
              </w:rPr>
              <w:t xml:space="preserve">Proliferation (of weapons of mass destruction) Financing </w:t>
            </w:r>
          </w:p>
        </w:tc>
      </w:tr>
      <w:tr w:rsidR="00352F37" w14:paraId="6E4E2EF4" w14:textId="77777777" w:rsidTr="007667A1">
        <w:tc>
          <w:tcPr>
            <w:tcW w:w="2518" w:type="dxa"/>
            <w:hideMark/>
          </w:tcPr>
          <w:p w14:paraId="6E4E2EF2" w14:textId="77777777" w:rsidR="00352F37" w:rsidRDefault="00352F37" w:rsidP="007667A1">
            <w:pPr>
              <w:pStyle w:val="Para0"/>
              <w:rPr>
                <w:lang w:val="en-US"/>
              </w:rPr>
            </w:pPr>
            <w:r>
              <w:rPr>
                <w:lang w:val="en-US"/>
              </w:rPr>
              <w:t>R.</w:t>
            </w:r>
          </w:p>
        </w:tc>
        <w:tc>
          <w:tcPr>
            <w:tcW w:w="7110" w:type="dxa"/>
            <w:hideMark/>
          </w:tcPr>
          <w:p w14:paraId="6E4E2EF3" w14:textId="77777777" w:rsidR="00352F37" w:rsidRDefault="00352F37" w:rsidP="007667A1">
            <w:pPr>
              <w:pStyle w:val="Para0"/>
              <w:rPr>
                <w:lang w:val="en-US"/>
              </w:rPr>
            </w:pPr>
            <w:r>
              <w:rPr>
                <w:lang w:val="en-US"/>
              </w:rPr>
              <w:t xml:space="preserve">Recommendation </w:t>
            </w:r>
          </w:p>
        </w:tc>
      </w:tr>
      <w:tr w:rsidR="00352F37" w14:paraId="6E4E2EF7" w14:textId="77777777" w:rsidTr="007667A1">
        <w:tc>
          <w:tcPr>
            <w:tcW w:w="2518" w:type="dxa"/>
            <w:hideMark/>
          </w:tcPr>
          <w:p w14:paraId="6E4E2EF5" w14:textId="77777777" w:rsidR="00352F37" w:rsidRDefault="00352F37" w:rsidP="007667A1">
            <w:pPr>
              <w:pStyle w:val="Para0"/>
              <w:rPr>
                <w:lang w:val="en-US"/>
              </w:rPr>
            </w:pPr>
            <w:r>
              <w:rPr>
                <w:lang w:val="en-US"/>
              </w:rPr>
              <w:t>RBA</w:t>
            </w:r>
          </w:p>
        </w:tc>
        <w:tc>
          <w:tcPr>
            <w:tcW w:w="7110" w:type="dxa"/>
            <w:hideMark/>
          </w:tcPr>
          <w:p w14:paraId="6E4E2EF6" w14:textId="77777777" w:rsidR="00352F37" w:rsidRDefault="00352F37" w:rsidP="007667A1">
            <w:pPr>
              <w:pStyle w:val="Para0"/>
              <w:rPr>
                <w:lang w:val="en-US"/>
              </w:rPr>
            </w:pPr>
            <w:r>
              <w:rPr>
                <w:lang w:val="en-US"/>
              </w:rPr>
              <w:t>Risk-based approach</w:t>
            </w:r>
          </w:p>
        </w:tc>
      </w:tr>
      <w:tr w:rsidR="00352F37" w14:paraId="6E4E2EFA" w14:textId="77777777" w:rsidTr="007667A1">
        <w:tc>
          <w:tcPr>
            <w:tcW w:w="2518" w:type="dxa"/>
          </w:tcPr>
          <w:p w14:paraId="6E4E2EF8" w14:textId="77777777" w:rsidR="00352F37" w:rsidRDefault="00352F37" w:rsidP="007667A1">
            <w:pPr>
              <w:pStyle w:val="Para0"/>
              <w:rPr>
                <w:lang w:val="en-US"/>
              </w:rPr>
            </w:pPr>
            <w:r>
              <w:rPr>
                <w:lang w:val="en-US"/>
              </w:rPr>
              <w:t>SDD</w:t>
            </w:r>
          </w:p>
        </w:tc>
        <w:tc>
          <w:tcPr>
            <w:tcW w:w="7110" w:type="dxa"/>
          </w:tcPr>
          <w:p w14:paraId="6E4E2EF9" w14:textId="77777777" w:rsidR="00352F37" w:rsidRDefault="00352F37" w:rsidP="007667A1">
            <w:pPr>
              <w:pStyle w:val="Para0"/>
              <w:rPr>
                <w:lang w:val="en-US"/>
              </w:rPr>
            </w:pPr>
            <w:r>
              <w:rPr>
                <w:lang w:val="en-US"/>
              </w:rPr>
              <w:t>Simplified Due Diligence</w:t>
            </w:r>
          </w:p>
        </w:tc>
      </w:tr>
      <w:tr w:rsidR="00352F37" w14:paraId="6E4E2EFD" w14:textId="77777777" w:rsidTr="007667A1">
        <w:tc>
          <w:tcPr>
            <w:tcW w:w="2518" w:type="dxa"/>
            <w:hideMark/>
          </w:tcPr>
          <w:p w14:paraId="6E4E2EFB" w14:textId="77777777" w:rsidR="00352F37" w:rsidRDefault="00352F37" w:rsidP="007667A1">
            <w:pPr>
              <w:pStyle w:val="Para0"/>
              <w:rPr>
                <w:lang w:val="en-US"/>
              </w:rPr>
            </w:pPr>
            <w:r>
              <w:rPr>
                <w:lang w:val="en-US"/>
              </w:rPr>
              <w:t>STR</w:t>
            </w:r>
          </w:p>
        </w:tc>
        <w:tc>
          <w:tcPr>
            <w:tcW w:w="7110" w:type="dxa"/>
            <w:hideMark/>
          </w:tcPr>
          <w:p w14:paraId="6E4E2EFC" w14:textId="77777777" w:rsidR="00352F37" w:rsidRDefault="00352F37" w:rsidP="007667A1">
            <w:pPr>
              <w:pStyle w:val="Para0"/>
              <w:rPr>
                <w:lang w:val="en-US"/>
              </w:rPr>
            </w:pPr>
            <w:r>
              <w:rPr>
                <w:lang w:val="en-US"/>
              </w:rPr>
              <w:t>Suspicious Transaction Report</w:t>
            </w:r>
          </w:p>
        </w:tc>
      </w:tr>
      <w:tr w:rsidR="00352F37" w14:paraId="6E4E2F00" w14:textId="77777777" w:rsidTr="007667A1">
        <w:tc>
          <w:tcPr>
            <w:tcW w:w="2518" w:type="dxa"/>
            <w:hideMark/>
          </w:tcPr>
          <w:p w14:paraId="6E4E2EFE" w14:textId="77777777" w:rsidR="00352F37" w:rsidRDefault="00352F37" w:rsidP="007667A1">
            <w:pPr>
              <w:pStyle w:val="Para0"/>
              <w:rPr>
                <w:lang w:val="en-US"/>
              </w:rPr>
            </w:pPr>
            <w:r>
              <w:rPr>
                <w:lang w:val="en-US"/>
              </w:rPr>
              <w:t>TF</w:t>
            </w:r>
          </w:p>
        </w:tc>
        <w:tc>
          <w:tcPr>
            <w:tcW w:w="7110" w:type="dxa"/>
            <w:hideMark/>
          </w:tcPr>
          <w:p w14:paraId="6E4E2EFF" w14:textId="77777777" w:rsidR="00352F37" w:rsidRDefault="00352F37" w:rsidP="007667A1">
            <w:pPr>
              <w:pStyle w:val="Para0"/>
              <w:rPr>
                <w:lang w:val="en-US"/>
              </w:rPr>
            </w:pPr>
            <w:r>
              <w:rPr>
                <w:lang w:val="en-US"/>
              </w:rPr>
              <w:t>Terrorist Financing</w:t>
            </w:r>
          </w:p>
        </w:tc>
      </w:tr>
    </w:tbl>
    <w:p w14:paraId="6E4E2F01" w14:textId="77777777" w:rsidR="00352F37" w:rsidRDefault="00352F37" w:rsidP="00352F37">
      <w:pPr>
        <w:pStyle w:val="Para0"/>
      </w:pPr>
    </w:p>
    <w:p w14:paraId="6E4E2F02" w14:textId="77777777" w:rsidR="00352F37" w:rsidRDefault="00352F37" w:rsidP="00352F37">
      <w:pPr>
        <w:tabs>
          <w:tab w:val="clear" w:pos="850"/>
          <w:tab w:val="clear" w:pos="1191"/>
          <w:tab w:val="clear" w:pos="1531"/>
        </w:tabs>
        <w:jc w:val="left"/>
        <w:rPr>
          <w:rFonts w:eastAsia="SimSun"/>
        </w:rPr>
      </w:pPr>
      <w:r>
        <w:br w:type="page"/>
      </w:r>
    </w:p>
    <w:p w14:paraId="6E4E2F03" w14:textId="77777777" w:rsidR="00352F37" w:rsidRDefault="00352F37" w:rsidP="00352F37">
      <w:pPr>
        <w:pStyle w:val="Para0"/>
        <w:jc w:val="center"/>
        <w:rPr>
          <w:i/>
          <w:color w:val="548DD4" w:themeColor="text2" w:themeTint="99"/>
          <w:sz w:val="32"/>
          <w:szCs w:val="32"/>
        </w:rPr>
      </w:pPr>
      <w:bookmarkStart w:id="3" w:name="_Toc509840535"/>
      <w:bookmarkStart w:id="4" w:name="_Toc509841903"/>
      <w:bookmarkStart w:id="5" w:name="_Toc509841945"/>
      <w:r w:rsidRPr="00B03ED4">
        <w:rPr>
          <w:i/>
          <w:color w:val="548DD4" w:themeColor="text2" w:themeTint="99"/>
          <w:sz w:val="32"/>
          <w:szCs w:val="32"/>
        </w:rPr>
        <w:lastRenderedPageBreak/>
        <w:t>DRAFT RISK-BASED APPROACH GUIDANCE FOR THE LIFE INSURANCE SECTOR</w:t>
      </w:r>
      <w:bookmarkEnd w:id="3"/>
      <w:bookmarkEnd w:id="4"/>
      <w:bookmarkEnd w:id="5"/>
    </w:p>
    <w:p w14:paraId="6E4E2F04" w14:textId="77777777" w:rsidR="00352F37" w:rsidRPr="00B03ED4" w:rsidRDefault="00352F37" w:rsidP="00352F37">
      <w:pPr>
        <w:pStyle w:val="Para0"/>
        <w:jc w:val="center"/>
        <w:rPr>
          <w:i/>
          <w:color w:val="548DD4" w:themeColor="text2" w:themeTint="99"/>
          <w:sz w:val="32"/>
          <w:szCs w:val="32"/>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515"/>
      </w:tblGrid>
      <w:tr w:rsidR="00352F37" w:rsidRPr="00961F86" w14:paraId="6E4E2F08" w14:textId="77777777" w:rsidTr="007667A1">
        <w:trPr>
          <w:jc w:val="center"/>
        </w:trPr>
        <w:tc>
          <w:tcPr>
            <w:tcW w:w="5000" w:type="pct"/>
            <w:shd w:val="clear" w:color="auto" w:fill="EDF0F7"/>
          </w:tcPr>
          <w:p w14:paraId="6E4E2F05" w14:textId="77777777" w:rsidR="00352F37" w:rsidRDefault="00352F37" w:rsidP="007667A1">
            <w:pPr>
              <w:pStyle w:val="Para0"/>
            </w:pPr>
            <w:r>
              <w:t xml:space="preserve">This Guidance paper should be read in conjunction with: </w:t>
            </w:r>
          </w:p>
          <w:p w14:paraId="6E4E2F06" w14:textId="77777777" w:rsidR="00352F37" w:rsidRDefault="00352F37" w:rsidP="00352F37">
            <w:pPr>
              <w:pStyle w:val="BulletedList"/>
              <w:numPr>
                <w:ilvl w:val="0"/>
                <w:numId w:val="23"/>
              </w:numPr>
            </w:pPr>
            <w:r>
              <w:t xml:space="preserve">The FATF Recommendations, especially Recommendations (R.) 1, 10, 12, 17, 18 and 26 and their Interpretive Notes (INR), and the Glossary. </w:t>
            </w:r>
          </w:p>
          <w:p w14:paraId="6E4E2F07" w14:textId="77777777" w:rsidR="00352F37" w:rsidRPr="00961F86" w:rsidRDefault="00352F37" w:rsidP="00352F37">
            <w:pPr>
              <w:pStyle w:val="BulletedList"/>
              <w:numPr>
                <w:ilvl w:val="0"/>
                <w:numId w:val="23"/>
              </w:numPr>
            </w:pPr>
            <w:r>
              <w:t xml:space="preserve">Other relevant FATF documents, such as the </w:t>
            </w:r>
            <w:hyperlink r:id="rId13" w:history="1">
              <w:r w:rsidRPr="00122B55">
                <w:rPr>
                  <w:rStyle w:val="Hyperlink"/>
                  <w:i/>
                </w:rPr>
                <w:t>FATF Guidance on National Money Laundering and Terrorist Financing Risk Assessment</w:t>
              </w:r>
            </w:hyperlink>
            <w:r>
              <w:t xml:space="preserve">, the </w:t>
            </w:r>
            <w:hyperlink r:id="rId14" w:history="1">
              <w:r w:rsidRPr="00122B55">
                <w:rPr>
                  <w:rStyle w:val="Hyperlink"/>
                  <w:i/>
                </w:rPr>
                <w:t>FATF Guidance on Politically Exposed Persons</w:t>
              </w:r>
            </w:hyperlink>
            <w:r>
              <w:t xml:space="preserve">, the </w:t>
            </w:r>
            <w:hyperlink r:id="rId15" w:history="1">
              <w:r w:rsidRPr="00122B55">
                <w:rPr>
                  <w:rStyle w:val="Hyperlink"/>
                  <w:i/>
                </w:rPr>
                <w:t xml:space="preserve">FATF Risk-Based Approach Guidance - Effective </w:t>
              </w:r>
              <w:r>
                <w:rPr>
                  <w:rStyle w:val="Hyperlink"/>
                  <w:i/>
                </w:rPr>
                <w:t>S</w:t>
              </w:r>
              <w:r w:rsidRPr="00122B55">
                <w:rPr>
                  <w:rStyle w:val="Hyperlink"/>
                  <w:i/>
                </w:rPr>
                <w:t xml:space="preserve">upervision and </w:t>
              </w:r>
              <w:r>
                <w:rPr>
                  <w:rStyle w:val="Hyperlink"/>
                  <w:i/>
                </w:rPr>
                <w:t>E</w:t>
              </w:r>
              <w:r w:rsidRPr="00122B55">
                <w:rPr>
                  <w:rStyle w:val="Hyperlink"/>
                  <w:i/>
                </w:rPr>
                <w:t xml:space="preserve">nforcement by AML/CFT </w:t>
              </w:r>
              <w:r>
                <w:rPr>
                  <w:rStyle w:val="Hyperlink"/>
                  <w:i/>
                </w:rPr>
                <w:t>S</w:t>
              </w:r>
              <w:r w:rsidRPr="00122B55">
                <w:rPr>
                  <w:rStyle w:val="Hyperlink"/>
                  <w:i/>
                </w:rPr>
                <w:t xml:space="preserve">upervisors of the </w:t>
              </w:r>
              <w:r>
                <w:rPr>
                  <w:rStyle w:val="Hyperlink"/>
                  <w:i/>
                </w:rPr>
                <w:t>F</w:t>
              </w:r>
              <w:r w:rsidRPr="00122B55">
                <w:rPr>
                  <w:rStyle w:val="Hyperlink"/>
                  <w:i/>
                </w:rPr>
                <w:t xml:space="preserve">inancial </w:t>
              </w:r>
              <w:r>
                <w:rPr>
                  <w:rStyle w:val="Hyperlink"/>
                  <w:i/>
                </w:rPr>
                <w:t>S</w:t>
              </w:r>
              <w:r w:rsidRPr="00122B55">
                <w:rPr>
                  <w:rStyle w:val="Hyperlink"/>
                  <w:i/>
                </w:rPr>
                <w:t xml:space="preserve">ector and </w:t>
              </w:r>
              <w:r>
                <w:rPr>
                  <w:rStyle w:val="Hyperlink"/>
                  <w:i/>
                </w:rPr>
                <w:t>L</w:t>
              </w:r>
              <w:r w:rsidRPr="00122B55">
                <w:rPr>
                  <w:rStyle w:val="Hyperlink"/>
                  <w:i/>
                </w:rPr>
                <w:t xml:space="preserve">aw </w:t>
              </w:r>
              <w:r>
                <w:rPr>
                  <w:rStyle w:val="Hyperlink"/>
                  <w:i/>
                </w:rPr>
                <w:t>E</w:t>
              </w:r>
              <w:r w:rsidRPr="00122B55">
                <w:rPr>
                  <w:rStyle w:val="Hyperlink"/>
                  <w:i/>
                </w:rPr>
                <w:t>nforcement</w:t>
              </w:r>
            </w:hyperlink>
            <w:r>
              <w:t xml:space="preserve">, the </w:t>
            </w:r>
            <w:hyperlink r:id="rId16" w:history="1">
              <w:r w:rsidRPr="0034550F">
                <w:rPr>
                  <w:rStyle w:val="Hyperlink"/>
                  <w:i/>
                </w:rPr>
                <w:t xml:space="preserve">FATF </w:t>
              </w:r>
              <w:r>
                <w:rPr>
                  <w:rStyle w:val="Hyperlink"/>
                  <w:i/>
                </w:rPr>
                <w:t>R</w:t>
              </w:r>
              <w:r w:rsidRPr="0034550F">
                <w:rPr>
                  <w:rStyle w:val="Hyperlink"/>
                  <w:i/>
                </w:rPr>
                <w:t>isk-</w:t>
              </w:r>
              <w:r>
                <w:rPr>
                  <w:rStyle w:val="Hyperlink"/>
                  <w:i/>
                </w:rPr>
                <w:t>B</w:t>
              </w:r>
              <w:r w:rsidRPr="0034550F">
                <w:rPr>
                  <w:rStyle w:val="Hyperlink"/>
                  <w:i/>
                </w:rPr>
                <w:t xml:space="preserve">ased </w:t>
              </w:r>
              <w:r>
                <w:rPr>
                  <w:rStyle w:val="Hyperlink"/>
                  <w:i/>
                </w:rPr>
                <w:t>A</w:t>
              </w:r>
              <w:r w:rsidRPr="0034550F">
                <w:rPr>
                  <w:rStyle w:val="Hyperlink"/>
                  <w:i/>
                </w:rPr>
                <w:t xml:space="preserve">pproach Guidance for the </w:t>
              </w:r>
              <w:r>
                <w:rPr>
                  <w:rStyle w:val="Hyperlink"/>
                  <w:i/>
                </w:rPr>
                <w:t>B</w:t>
              </w:r>
              <w:r w:rsidRPr="0034550F">
                <w:rPr>
                  <w:rStyle w:val="Hyperlink"/>
                  <w:i/>
                </w:rPr>
                <w:t xml:space="preserve">anking </w:t>
              </w:r>
              <w:r>
                <w:rPr>
                  <w:rStyle w:val="Hyperlink"/>
                  <w:i/>
                </w:rPr>
                <w:t>S</w:t>
              </w:r>
              <w:r w:rsidRPr="0034550F">
                <w:rPr>
                  <w:rStyle w:val="Hyperlink"/>
                  <w:i/>
                </w:rPr>
                <w:t>ector</w:t>
              </w:r>
            </w:hyperlink>
            <w:r w:rsidRPr="00122B55">
              <w:rPr>
                <w:i/>
              </w:rPr>
              <w:t xml:space="preserve">, </w:t>
            </w:r>
            <w:r>
              <w:rPr>
                <w:i/>
              </w:rPr>
              <w:t xml:space="preserve">the </w:t>
            </w:r>
            <w:hyperlink r:id="rId17" w:history="1">
              <w:r w:rsidRPr="0034550F">
                <w:rPr>
                  <w:rStyle w:val="Hyperlink"/>
                  <w:i/>
                </w:rPr>
                <w:t xml:space="preserve">FATF Guidance Private Sector Information </w:t>
              </w:r>
              <w:r>
                <w:rPr>
                  <w:rStyle w:val="Hyperlink"/>
                  <w:i/>
                </w:rPr>
                <w:t>S</w:t>
              </w:r>
              <w:r w:rsidRPr="0034550F">
                <w:rPr>
                  <w:rStyle w:val="Hyperlink"/>
                  <w:i/>
                </w:rPr>
                <w:t>haring</w:t>
              </w:r>
            </w:hyperlink>
            <w:r>
              <w:t xml:space="preserve"> and the </w:t>
            </w:r>
            <w:hyperlink r:id="rId18" w:history="1">
              <w:r w:rsidRPr="0034550F">
                <w:rPr>
                  <w:rStyle w:val="Hyperlink"/>
                  <w:i/>
                </w:rPr>
                <w:t>FATF Guidance on AML/CFT and Financial Inclusion</w:t>
              </w:r>
            </w:hyperlink>
            <w:r>
              <w:t>.</w:t>
            </w:r>
          </w:p>
        </w:tc>
      </w:tr>
    </w:tbl>
    <w:p w14:paraId="6E4E2F09" w14:textId="77777777" w:rsidR="00352F37" w:rsidRDefault="00352F37" w:rsidP="00352F37">
      <w:pPr>
        <w:pStyle w:val="Heading1"/>
        <w:numPr>
          <w:ilvl w:val="0"/>
          <w:numId w:val="13"/>
        </w:numPr>
      </w:pPr>
      <w:bookmarkStart w:id="6" w:name="_Toc509840539"/>
      <w:bookmarkStart w:id="7" w:name="_Toc517968020"/>
      <w:r>
        <w:t>INTRODUCTION</w:t>
      </w:r>
      <w:bookmarkEnd w:id="6"/>
      <w:bookmarkEnd w:id="7"/>
    </w:p>
    <w:p w14:paraId="6E4E2F0A" w14:textId="77777777" w:rsidR="00352F37" w:rsidRPr="004C7A09" w:rsidRDefault="00352F37" w:rsidP="00352F37">
      <w:pPr>
        <w:pStyle w:val="Heading2"/>
        <w:numPr>
          <w:ilvl w:val="1"/>
          <w:numId w:val="13"/>
        </w:numPr>
      </w:pPr>
      <w:bookmarkStart w:id="8" w:name="_Toc509840540"/>
      <w:bookmarkStart w:id="9" w:name="_Toc517968021"/>
      <w:r w:rsidRPr="004C7A09">
        <w:t>BACKGROUND AND CONTEXT</w:t>
      </w:r>
      <w:bookmarkEnd w:id="8"/>
      <w:bookmarkEnd w:id="9"/>
    </w:p>
    <w:p w14:paraId="6E4E2F0B" w14:textId="4BCD4651" w:rsidR="00352F37" w:rsidRDefault="00352F37" w:rsidP="00352F37">
      <w:pPr>
        <w:pStyle w:val="Para"/>
        <w:numPr>
          <w:ilvl w:val="0"/>
          <w:numId w:val="31"/>
        </w:numPr>
      </w:pPr>
      <w:r>
        <w:t>The risk-based approach (RBA) is central to the effective implementation of the revised FATF International Standards on Combating Money Laundering and the Financing of Terrorism and Proliferation, which were adopted in 2012.</w:t>
      </w:r>
      <w:r>
        <w:rPr>
          <w:rStyle w:val="FootnoteReference"/>
        </w:rPr>
        <w:footnoteReference w:id="2"/>
      </w:r>
      <w:r>
        <w:t xml:space="preserve"> The FATF has reviewed its 2009 RBA Guidance for the life insurance sector, in order to bring it in line with the revised FATF requirements.</w:t>
      </w:r>
      <w:r>
        <w:rPr>
          <w:rStyle w:val="FootnoteReference"/>
        </w:rPr>
        <w:footnoteReference w:id="3"/>
      </w:r>
      <w:r>
        <w:t xml:space="preserve"> </w:t>
      </w:r>
    </w:p>
    <w:p w14:paraId="6E4E2F0C" w14:textId="77777777" w:rsidR="00352F37" w:rsidRDefault="00352F37" w:rsidP="00352F37">
      <w:pPr>
        <w:pStyle w:val="Para"/>
      </w:pPr>
      <w:r>
        <w:t xml:space="preserve">This updated RBA Guidance for the </w:t>
      </w:r>
      <w:r w:rsidRPr="00FE1C0F">
        <w:t>life</w:t>
      </w:r>
      <w:r>
        <w:t xml:space="preserve"> insurance sector was drafted by a group of FATF members and observers, and representatives of the private sector, co-led by representatives of France and Manulife.</w:t>
      </w:r>
      <w:r>
        <w:rPr>
          <w:rStyle w:val="FootnoteReference"/>
          <w:lang w:val="en-US"/>
        </w:rPr>
        <w:footnoteReference w:id="4"/>
      </w:r>
      <w:r>
        <w:t xml:space="preserve">  It was adopted by the FATF at its October 2018 Plenary.</w:t>
      </w:r>
    </w:p>
    <w:p w14:paraId="6E4E2F0D" w14:textId="77777777" w:rsidR="00352F37" w:rsidRDefault="00352F37" w:rsidP="00352F37">
      <w:pPr>
        <w:pStyle w:val="Heading2"/>
        <w:numPr>
          <w:ilvl w:val="1"/>
          <w:numId w:val="13"/>
        </w:numPr>
      </w:pPr>
      <w:bookmarkStart w:id="10" w:name="_Toc509840541"/>
      <w:bookmarkStart w:id="11" w:name="_Toc517968022"/>
      <w:r>
        <w:lastRenderedPageBreak/>
        <w:t>PURPOSE OF THIS GUIDANCE</w:t>
      </w:r>
      <w:bookmarkEnd w:id="10"/>
      <w:bookmarkEnd w:id="11"/>
    </w:p>
    <w:p w14:paraId="6E4E2F0E" w14:textId="77777777" w:rsidR="00352F37" w:rsidRDefault="00352F37" w:rsidP="00352F37">
      <w:pPr>
        <w:pStyle w:val="Para"/>
      </w:pPr>
      <w:r>
        <w:t>The purpose of this Guidance is to:</w:t>
      </w:r>
    </w:p>
    <w:p w14:paraId="6E4E2F0F" w14:textId="77777777" w:rsidR="00352F37" w:rsidRDefault="00352F37" w:rsidP="00352F37">
      <w:pPr>
        <w:pStyle w:val="BulletedList"/>
        <w:numPr>
          <w:ilvl w:val="0"/>
          <w:numId w:val="23"/>
        </w:numPr>
      </w:pPr>
      <w:r>
        <w:t>Outline the key elements involved in applying a RBA to AML/CFT associated with life insurance;</w:t>
      </w:r>
    </w:p>
    <w:p w14:paraId="6E4E2F10" w14:textId="77777777" w:rsidR="00352F37" w:rsidRDefault="00352F37" w:rsidP="00352F37">
      <w:pPr>
        <w:pStyle w:val="BulletedList"/>
        <w:numPr>
          <w:ilvl w:val="0"/>
          <w:numId w:val="23"/>
        </w:numPr>
      </w:pPr>
      <w:r>
        <w:t>Assist countries, competent authorities, insurers</w:t>
      </w:r>
      <w:r>
        <w:rPr>
          <w:rStyle w:val="FootnoteReference"/>
        </w:rPr>
        <w:footnoteReference w:id="5"/>
      </w:r>
      <w:r>
        <w:t xml:space="preserve"> and intermediaries</w:t>
      </w:r>
      <w:r>
        <w:rPr>
          <w:rStyle w:val="FootnoteReference"/>
        </w:rPr>
        <w:footnoteReference w:id="6"/>
      </w:r>
      <w:r>
        <w:t xml:space="preserve"> in the design and implementation of a RBA to AML/CFT by providing general guidelines and examples of current practice; </w:t>
      </w:r>
    </w:p>
    <w:p w14:paraId="6E4E2F11" w14:textId="77777777" w:rsidR="00352F37" w:rsidRDefault="00352F37" w:rsidP="00352F37">
      <w:pPr>
        <w:pStyle w:val="BulletedList"/>
        <w:numPr>
          <w:ilvl w:val="0"/>
          <w:numId w:val="23"/>
        </w:numPr>
      </w:pPr>
      <w:r>
        <w:t>Support the effective implementation and supervision of national AML/CFT measures, by focusing on risks and associated mitigation measures; and</w:t>
      </w:r>
    </w:p>
    <w:p w14:paraId="6E4E2F12" w14:textId="77777777" w:rsidR="00352F37" w:rsidRDefault="00352F37" w:rsidP="00352F37">
      <w:pPr>
        <w:pStyle w:val="BulletedList"/>
        <w:numPr>
          <w:ilvl w:val="0"/>
          <w:numId w:val="23"/>
        </w:numPr>
      </w:pPr>
      <w:r>
        <w:t>Support the development of a common understanding of what a RBA to AML/CFT entails.</w:t>
      </w:r>
    </w:p>
    <w:p w14:paraId="6E4E2F13" w14:textId="77777777" w:rsidR="00352F37" w:rsidRDefault="00352F37" w:rsidP="00352F37">
      <w:pPr>
        <w:pStyle w:val="Heading2"/>
        <w:numPr>
          <w:ilvl w:val="1"/>
          <w:numId w:val="13"/>
        </w:numPr>
      </w:pPr>
      <w:bookmarkStart w:id="12" w:name="_Toc509840542"/>
      <w:bookmarkStart w:id="13" w:name="_Toc517968023"/>
      <w:r>
        <w:t>TARGET AUDIENCE, STATUS AND CONTENT OF THE GUIDANCE</w:t>
      </w:r>
      <w:bookmarkEnd w:id="12"/>
      <w:bookmarkEnd w:id="13"/>
    </w:p>
    <w:p w14:paraId="6E4E2F14" w14:textId="77777777" w:rsidR="00352F37" w:rsidRDefault="00352F37" w:rsidP="00352F37">
      <w:pPr>
        <w:pStyle w:val="Para"/>
      </w:pPr>
      <w:r>
        <w:t>This Guidance addresses:</w:t>
      </w:r>
    </w:p>
    <w:p w14:paraId="6E4E2F15" w14:textId="77777777" w:rsidR="00352F37" w:rsidRDefault="00352F37" w:rsidP="00352F37">
      <w:pPr>
        <w:pStyle w:val="BulletedList"/>
        <w:numPr>
          <w:ilvl w:val="0"/>
          <w:numId w:val="23"/>
        </w:numPr>
      </w:pPr>
      <w:r>
        <w:t>Countries and their supervisors and competent authorities, including life insurance supervisors, other supervisors or competent authorities involved in the AML/CFT compliance of life insurers and intermediaries and/or of life insurance entities part of a financial group;</w:t>
      </w:r>
    </w:p>
    <w:p w14:paraId="6E4E2F16" w14:textId="77777777" w:rsidR="00352F37" w:rsidRDefault="00352F37" w:rsidP="00352F37">
      <w:pPr>
        <w:pStyle w:val="BulletedList"/>
        <w:numPr>
          <w:ilvl w:val="0"/>
          <w:numId w:val="23"/>
        </w:numPr>
      </w:pPr>
      <w:r>
        <w:t>Insurers and intermediaries providing life insurance and other investment-related insurance products</w:t>
      </w:r>
      <w:r>
        <w:rPr>
          <w:rStyle w:val="FootnoteReference"/>
        </w:rPr>
        <w:footnoteReference w:id="7"/>
      </w:r>
      <w:r>
        <w:t xml:space="preserve"> mentioned in the FATF Glossary.</w:t>
      </w:r>
    </w:p>
    <w:p w14:paraId="6E4E2F17" w14:textId="77777777" w:rsidR="00352F37" w:rsidRDefault="00352F37" w:rsidP="00352F37">
      <w:pPr>
        <w:pStyle w:val="Para"/>
      </w:pPr>
      <w:r>
        <w:t>The Guidance covers the life insurance sector</w:t>
      </w:r>
      <w:r>
        <w:rPr>
          <w:rStyle w:val="FootnoteReference"/>
        </w:rPr>
        <w:footnoteReference w:id="8"/>
      </w:r>
      <w:r>
        <w:t xml:space="preserve"> and consists of three sections. Section I sets out the key elements of the RBA, Section II provides guidance to life </w:t>
      </w:r>
      <w:r w:rsidRPr="0034550F">
        <w:t>insurers and insurance intermediaries</w:t>
      </w:r>
      <w:r>
        <w:t xml:space="preserve"> providing life insurance and other investment-related insurance products, and Section III provides guidance to supervisors. The Guidance also includes annexes on non-life insurance and reinsurance for information purposes only</w:t>
      </w:r>
      <w:r w:rsidRPr="003434ED">
        <w:t xml:space="preserve"> and is not intended to expand the scope of the FATF Recommendations</w:t>
      </w:r>
      <w:r>
        <w:t xml:space="preserve">. </w:t>
      </w:r>
      <w:r w:rsidRPr="00E57CBD">
        <w:t xml:space="preserve">The FATF Recommendations (with the exception of R. 6 and </w:t>
      </w:r>
      <w:r>
        <w:t>R.</w:t>
      </w:r>
      <w:r w:rsidRPr="00E57CBD">
        <w:t>7 on targeted financial sanctions)</w:t>
      </w:r>
      <w:r>
        <w:t xml:space="preserve"> do not target non-life insurance and reinsurance</w:t>
      </w:r>
      <w:r>
        <w:rPr>
          <w:rStyle w:val="FootnoteReference"/>
        </w:rPr>
        <w:footnoteReference w:id="9"/>
      </w:r>
      <w:r>
        <w:t>. However, some countries do include certain non-life insurance activities in their AML/CFT framework based on country specific risk evaluations.</w:t>
      </w:r>
    </w:p>
    <w:p w14:paraId="6E4E2F18" w14:textId="77777777" w:rsidR="00352F37" w:rsidRDefault="00352F37" w:rsidP="00352F37">
      <w:pPr>
        <w:pStyle w:val="Para"/>
      </w:pPr>
      <w:r>
        <w:t xml:space="preserve">This Guidance recognises that an effective RBA will build on, and reflect, a country’s legal and regulatory approach, the nature, diversity and maturity of its life </w:t>
      </w:r>
      <w:r>
        <w:lastRenderedPageBreak/>
        <w:t xml:space="preserve">insurance sector and its overall risk profile. It sets out recommendations for what countries should consider when designing and implementing a RBA; but it does not override the purview of national competent authorities. When considering the general principles outlined in the Guidance, national authorities should take into consideration their national context, including the supervisory approach and legal framework. </w:t>
      </w:r>
    </w:p>
    <w:p w14:paraId="6E4E2F19" w14:textId="77777777" w:rsidR="00352F37" w:rsidRDefault="00352F37" w:rsidP="00352F37">
      <w:pPr>
        <w:pStyle w:val="Para"/>
      </w:pPr>
      <w:r>
        <w:t>This Guidance paper is non-binding. It draws on the experiences of countries and of the private sector and may assist competent authorities and financial institutions to effectively implement the applicable FATF Recommendations.</w:t>
      </w:r>
    </w:p>
    <w:p w14:paraId="6E4E2F1A" w14:textId="77777777" w:rsidR="00352F37" w:rsidRDefault="00352F37" w:rsidP="00352F37">
      <w:pPr>
        <w:pStyle w:val="Heading2"/>
        <w:numPr>
          <w:ilvl w:val="1"/>
          <w:numId w:val="13"/>
        </w:numPr>
      </w:pPr>
      <w:bookmarkStart w:id="14" w:name="_Toc509840543"/>
      <w:bookmarkStart w:id="15" w:name="_Toc517968024"/>
      <w:r>
        <w:t>TERMINOLOGY AND KEY FEATURES OF THE LIFE INSURANCE SECTOR RELEVANT FOR AML/CFT</w:t>
      </w:r>
      <w:bookmarkEnd w:id="14"/>
      <w:bookmarkEnd w:id="15"/>
    </w:p>
    <w:p w14:paraId="6E4E2F1B" w14:textId="77777777" w:rsidR="00352F37" w:rsidRDefault="00352F37" w:rsidP="00352F37">
      <w:pPr>
        <w:pStyle w:val="Heading3"/>
        <w:numPr>
          <w:ilvl w:val="2"/>
          <w:numId w:val="13"/>
        </w:numPr>
      </w:pPr>
      <w:bookmarkStart w:id="16" w:name="_Toc517968025"/>
      <w:r>
        <w:t>Life insurance products and other investment-related insurance products</w:t>
      </w:r>
      <w:bookmarkEnd w:id="16"/>
      <w:r>
        <w:t xml:space="preserve"> </w:t>
      </w:r>
    </w:p>
    <w:p w14:paraId="6E4E2F1C" w14:textId="2A8457EB" w:rsidR="00352F37" w:rsidRDefault="00352F37" w:rsidP="00352F37">
      <w:pPr>
        <w:pStyle w:val="Para"/>
      </w:pPr>
      <w:r w:rsidRPr="006B1D95">
        <w:t xml:space="preserve">For the purpose of this Guidance, “life insurance products and other investment-related insurance products”, as referred to in the FATF Glossary, are understood as contracts primarily designed to financially protect the customer/policyholder and its related third parties </w:t>
      </w:r>
      <w:r w:rsidRPr="00624AAA">
        <w:t>(who include the insured, the beneficiary/</w:t>
      </w:r>
      <w:proofErr w:type="spellStart"/>
      <w:r w:rsidRPr="00624AAA">
        <w:t>ies</w:t>
      </w:r>
      <w:proofErr w:type="spellEnd"/>
      <w:r w:rsidRPr="00624AAA">
        <w:t xml:space="preserve"> of the contract, and the beneficial owners) against the risk of an uncertain future event – such as death or critical illness. Related third part</w:t>
      </w:r>
      <w:r w:rsidR="00624AAA">
        <w:t>y beneficiar</w:t>
      </w:r>
      <w:r w:rsidRPr="00624AAA">
        <w:t xml:space="preserve">ies </w:t>
      </w:r>
      <w:r w:rsidRPr="006B1D95">
        <w:t>may be the policyholder, or another nominated or a designated beneficiary. The beneficiary/</w:t>
      </w:r>
      <w:proofErr w:type="spellStart"/>
      <w:r w:rsidRPr="006B1D95">
        <w:t>ies</w:t>
      </w:r>
      <w:proofErr w:type="spellEnd"/>
      <w:r w:rsidRPr="006B1D95">
        <w:t xml:space="preserve"> can be the customer or another nominated or designated</w:t>
      </w:r>
      <w:r w:rsidRPr="00E54A30">
        <w:t xml:space="preserve"> beneficiary, and can be a natural person as well as a legal entity. </w:t>
      </w:r>
      <w:r>
        <w:t xml:space="preserve">Life insurance products can also be bought as investment or saving vehicles and to support estate planning or pension plans. </w:t>
      </w:r>
    </w:p>
    <w:p w14:paraId="6E4E2F1D" w14:textId="77777777" w:rsidR="00352F37" w:rsidRDefault="00352F37" w:rsidP="00352F37">
      <w:pPr>
        <w:pStyle w:val="Para"/>
      </w:pPr>
      <w:r>
        <w:t xml:space="preserve">Most life insurance products are designed for the long-term and some will only pay out on the occurrence of a verifiable event, such as death or retirement. However, some have saving or investment features, which may include the options for full and/or partial withdrawals or surrenders at any time.  Life insurance policies can be individual policies or group policies - for example, companies may provide life insurance for their employees as part of a benefits package. </w:t>
      </w:r>
    </w:p>
    <w:p w14:paraId="6E4E2F1E" w14:textId="4557B944" w:rsidR="00352F37" w:rsidRPr="0047006B" w:rsidRDefault="00352F37" w:rsidP="00352F37">
      <w:pPr>
        <w:pStyle w:val="Para"/>
      </w:pPr>
      <w:r w:rsidRPr="0047006B">
        <w:t>Generally the ML/TF risks associated to the life insurance sector is lower than that associated with other financial products (e.g.</w:t>
      </w:r>
      <w:r>
        <w:t>,</w:t>
      </w:r>
      <w:r w:rsidRPr="0047006B">
        <w:t xml:space="preserve"> loans, payment services) or other sectors (e.g.</w:t>
      </w:r>
      <w:r>
        <w:t>,</w:t>
      </w:r>
      <w:r w:rsidRPr="0047006B">
        <w:t xml:space="preserve"> banking, gambling, precious stones and metal dealers).  </w:t>
      </w:r>
      <w:r>
        <w:t>Indeed, m</w:t>
      </w:r>
      <w:r w:rsidRPr="0047006B">
        <w:t xml:space="preserve">ost life insurance products are designed for the long term and some will only pay out on a verifiable event, such as death or retirement. This means that many life insurance products are not sufficiently flexible to be the first vehicle of choice for money launderers. However, as with other financial services products, there is a risk that the funds used to purchase life insurance may be the proceeds of crime. </w:t>
      </w:r>
    </w:p>
    <w:p w14:paraId="6E4E2F1F" w14:textId="77777777" w:rsidR="00352F37" w:rsidRDefault="00352F37" w:rsidP="00352F37">
      <w:pPr>
        <w:pStyle w:val="Para"/>
      </w:pPr>
      <w:r>
        <w:t>T</w:t>
      </w:r>
      <w:r w:rsidRPr="000F2D0E">
        <w:t>he AML/CFT regime appli</w:t>
      </w:r>
      <w:r>
        <w:t>cable</w:t>
      </w:r>
      <w:r w:rsidRPr="000F2D0E">
        <w:t xml:space="preserve"> to life insurance in a given jurisdiction will have to be determined based on the results of the national ML/TF risk assessment, </w:t>
      </w:r>
      <w:r>
        <w:t xml:space="preserve">on </w:t>
      </w:r>
      <w:r w:rsidRPr="000F2D0E">
        <w:t xml:space="preserve">the </w:t>
      </w:r>
      <w:r>
        <w:t xml:space="preserve">local </w:t>
      </w:r>
      <w:r w:rsidRPr="000F2D0E">
        <w:t xml:space="preserve">sectoral life insurance ML/TF risk assessment, as well as on the </w:t>
      </w:r>
      <w:r>
        <w:t xml:space="preserve">specific </w:t>
      </w:r>
      <w:r w:rsidRPr="000F2D0E">
        <w:t>individual insurer (and</w:t>
      </w:r>
      <w:r>
        <w:t>/or</w:t>
      </w:r>
      <w:r w:rsidRPr="000F2D0E">
        <w:t xml:space="preserve"> intermediary where relevant) ML/TF risk assessment.</w:t>
      </w:r>
      <w:r>
        <w:rPr>
          <w:rStyle w:val="FootnoteReference"/>
        </w:rPr>
        <w:footnoteReference w:id="10"/>
      </w:r>
      <w:r>
        <w:rPr>
          <w:color w:val="FF0000"/>
          <w:u w:val="single"/>
        </w:rPr>
        <w:t xml:space="preserve"> </w:t>
      </w:r>
      <w:r w:rsidRPr="00827DDB">
        <w:t xml:space="preserve"> </w:t>
      </w:r>
    </w:p>
    <w:p w14:paraId="6E4E2F20" w14:textId="77777777" w:rsidR="00352F37" w:rsidRPr="00E80D35" w:rsidRDefault="00352F37" w:rsidP="00352F37">
      <w:pPr>
        <w:pStyle w:val="BoxHeading"/>
        <w:rPr>
          <w:sz w:val="22"/>
          <w:szCs w:val="22"/>
        </w:rPr>
      </w:pPr>
      <w:r w:rsidRPr="00E80D35">
        <w:rPr>
          <w:sz w:val="22"/>
          <w:szCs w:val="22"/>
        </w:rPr>
        <w:lastRenderedPageBreak/>
        <w:t xml:space="preserve">Table 1 - </w:t>
      </w:r>
      <w:r w:rsidRPr="00E80D35">
        <w:rPr>
          <w:bCs/>
          <w:sz w:val="22"/>
          <w:szCs w:val="22"/>
        </w:rPr>
        <w:t xml:space="preserve">Examples of life insurance products and indicative risk ratings </w:t>
      </w:r>
      <w:r w:rsidRPr="00E80D35">
        <w:rPr>
          <w:b w:val="0"/>
          <w:sz w:val="22"/>
          <w:szCs w:val="22"/>
        </w:rPr>
        <w:t>(without prejudice to the other ML/TF risk factors such as transaction, distribution, geographical or customer risks)</w:t>
      </w:r>
    </w:p>
    <w:tbl>
      <w:tblPr>
        <w:tblW w:w="7938" w:type="dxa"/>
        <w:jc w:val="center"/>
        <w:tblBorders>
          <w:top w:val="single" w:sz="12" w:space="0" w:color="4F81BD"/>
          <w:bottom w:val="single" w:sz="12" w:space="0" w:color="000000"/>
        </w:tblBorders>
        <w:tblCellMar>
          <w:left w:w="0" w:type="dxa"/>
          <w:right w:w="0" w:type="dxa"/>
        </w:tblCellMar>
        <w:tblLook w:val="04A0" w:firstRow="1" w:lastRow="0" w:firstColumn="1" w:lastColumn="0" w:noHBand="0" w:noVBand="1"/>
      </w:tblPr>
      <w:tblGrid>
        <w:gridCol w:w="2533"/>
        <w:gridCol w:w="2499"/>
        <w:gridCol w:w="2906"/>
      </w:tblGrid>
      <w:tr w:rsidR="00352F37" w:rsidRPr="00312A4C" w14:paraId="6E4E2F24" w14:textId="77777777" w:rsidTr="007667A1">
        <w:trPr>
          <w:jc w:val="center"/>
        </w:trPr>
        <w:tc>
          <w:tcPr>
            <w:tcW w:w="0" w:type="auto"/>
            <w:tcBorders>
              <w:bottom w:val="single" w:sz="8" w:space="0" w:color="000000"/>
            </w:tcBorders>
            <w:shd w:val="clear" w:color="auto" w:fill="FFFFFF"/>
            <w:tcMar>
              <w:top w:w="0" w:type="dxa"/>
              <w:left w:w="108" w:type="dxa"/>
              <w:bottom w:w="0" w:type="dxa"/>
              <w:right w:w="108" w:type="dxa"/>
            </w:tcMar>
            <w:vAlign w:val="center"/>
            <w:hideMark/>
          </w:tcPr>
          <w:p w14:paraId="6E4E2F21" w14:textId="77777777" w:rsidR="00352F37" w:rsidRPr="00312A4C" w:rsidRDefault="00352F37" w:rsidP="007667A1">
            <w:pPr>
              <w:pStyle w:val="tableparagraph0"/>
              <w:jc w:val="center"/>
            </w:pPr>
            <w:r w:rsidRPr="00655C25">
              <w:rPr>
                <w:b/>
                <w:bCs/>
                <w:spacing w:val="-1"/>
                <w:sz w:val="18"/>
                <w:szCs w:val="18"/>
                <w:lang w:val="en-US"/>
              </w:rPr>
              <w:t>EXAMPLE OF PRODUCT DESCRIPTION</w:t>
            </w:r>
          </w:p>
        </w:tc>
        <w:tc>
          <w:tcPr>
            <w:tcW w:w="0" w:type="auto"/>
            <w:tcBorders>
              <w:bottom w:val="single" w:sz="8" w:space="0" w:color="000000"/>
            </w:tcBorders>
            <w:shd w:val="clear" w:color="auto" w:fill="FFFFFF"/>
            <w:tcMar>
              <w:top w:w="0" w:type="dxa"/>
              <w:left w:w="108" w:type="dxa"/>
              <w:bottom w:w="0" w:type="dxa"/>
              <w:right w:w="108" w:type="dxa"/>
            </w:tcMar>
            <w:vAlign w:val="center"/>
            <w:hideMark/>
          </w:tcPr>
          <w:p w14:paraId="6E4E2F22" w14:textId="77777777" w:rsidR="00352F37" w:rsidRPr="00312A4C" w:rsidRDefault="00352F37" w:rsidP="007667A1">
            <w:pPr>
              <w:pStyle w:val="tableparagraph0"/>
              <w:jc w:val="center"/>
            </w:pPr>
            <w:r w:rsidRPr="00312A4C">
              <w:rPr>
                <w:b/>
                <w:bCs/>
                <w:spacing w:val="-1"/>
                <w:szCs w:val="18"/>
                <w:lang w:val="en-US"/>
              </w:rPr>
              <w:t>T</w:t>
            </w:r>
            <w:r w:rsidRPr="00312A4C">
              <w:rPr>
                <w:b/>
                <w:bCs/>
                <w:spacing w:val="-1"/>
                <w:sz w:val="18"/>
                <w:szCs w:val="18"/>
                <w:lang w:val="en-US"/>
              </w:rPr>
              <w:t>YPICAL</w:t>
            </w:r>
            <w:r w:rsidRPr="00312A4C">
              <w:rPr>
                <w:b/>
                <w:bCs/>
                <w:spacing w:val="1"/>
                <w:lang w:val="en-US"/>
              </w:rPr>
              <w:t xml:space="preserve"> F</w:t>
            </w:r>
            <w:r w:rsidRPr="00312A4C">
              <w:rPr>
                <w:b/>
                <w:bCs/>
                <w:sz w:val="18"/>
                <w:szCs w:val="18"/>
                <w:lang w:val="en-US"/>
              </w:rPr>
              <w:t>EAT</w:t>
            </w:r>
            <w:r w:rsidRPr="00312A4C">
              <w:rPr>
                <w:b/>
                <w:bCs/>
                <w:spacing w:val="-1"/>
                <w:sz w:val="18"/>
                <w:szCs w:val="18"/>
                <w:lang w:val="en-US"/>
              </w:rPr>
              <w:t>U</w:t>
            </w:r>
            <w:r w:rsidRPr="00312A4C">
              <w:rPr>
                <w:b/>
                <w:bCs/>
                <w:sz w:val="18"/>
                <w:szCs w:val="18"/>
                <w:lang w:val="en-US"/>
              </w:rPr>
              <w:t>RES</w:t>
            </w:r>
          </w:p>
        </w:tc>
        <w:tc>
          <w:tcPr>
            <w:tcW w:w="0" w:type="auto"/>
            <w:tcBorders>
              <w:bottom w:val="single" w:sz="8" w:space="0" w:color="000000"/>
            </w:tcBorders>
            <w:shd w:val="clear" w:color="auto" w:fill="FFFFFF"/>
            <w:tcMar>
              <w:top w:w="0" w:type="dxa"/>
              <w:left w:w="108" w:type="dxa"/>
              <w:bottom w:w="0" w:type="dxa"/>
              <w:right w:w="108" w:type="dxa"/>
            </w:tcMar>
            <w:vAlign w:val="center"/>
            <w:hideMark/>
          </w:tcPr>
          <w:p w14:paraId="6E4E2F23" w14:textId="77777777" w:rsidR="00352F37" w:rsidRPr="00312A4C" w:rsidRDefault="00352F37" w:rsidP="007667A1">
            <w:pPr>
              <w:pStyle w:val="tableparagraph0"/>
              <w:jc w:val="center"/>
            </w:pPr>
            <w:r w:rsidRPr="00312A4C">
              <w:rPr>
                <w:b/>
                <w:bCs/>
                <w:spacing w:val="1"/>
                <w:szCs w:val="18"/>
                <w:lang w:val="en-US"/>
              </w:rPr>
              <w:t>I</w:t>
            </w:r>
            <w:r w:rsidRPr="00312A4C">
              <w:rPr>
                <w:b/>
                <w:bCs/>
                <w:spacing w:val="1"/>
                <w:sz w:val="18"/>
                <w:szCs w:val="18"/>
                <w:lang w:val="en-US"/>
              </w:rPr>
              <w:t xml:space="preserve">NDICATIVE </w:t>
            </w:r>
            <w:r w:rsidRPr="00312A4C">
              <w:rPr>
                <w:b/>
                <w:bCs/>
                <w:spacing w:val="1"/>
                <w:szCs w:val="18"/>
                <w:lang w:val="en-US"/>
              </w:rPr>
              <w:t>R</w:t>
            </w:r>
            <w:r w:rsidRPr="00312A4C">
              <w:rPr>
                <w:b/>
                <w:bCs/>
                <w:spacing w:val="1"/>
                <w:sz w:val="18"/>
                <w:szCs w:val="18"/>
                <w:lang w:val="en-US"/>
              </w:rPr>
              <w:t xml:space="preserve">ISK </w:t>
            </w:r>
            <w:r w:rsidRPr="00312A4C">
              <w:rPr>
                <w:b/>
                <w:bCs/>
                <w:spacing w:val="1"/>
                <w:szCs w:val="18"/>
                <w:lang w:val="en-US"/>
              </w:rPr>
              <w:t>R</w:t>
            </w:r>
            <w:r w:rsidRPr="00312A4C">
              <w:rPr>
                <w:b/>
                <w:bCs/>
                <w:spacing w:val="1"/>
                <w:sz w:val="18"/>
                <w:szCs w:val="18"/>
                <w:lang w:val="en-US"/>
              </w:rPr>
              <w:t>ATING</w:t>
            </w:r>
          </w:p>
        </w:tc>
      </w:tr>
      <w:tr w:rsidR="00352F37" w14:paraId="6E4E2F32" w14:textId="77777777" w:rsidTr="007667A1">
        <w:trPr>
          <w:jc w:val="center"/>
        </w:trPr>
        <w:tc>
          <w:tcPr>
            <w:tcW w:w="0" w:type="auto"/>
            <w:shd w:val="clear" w:color="auto" w:fill="EDF0F7"/>
            <w:tcMar>
              <w:top w:w="0" w:type="dxa"/>
              <w:left w:w="108" w:type="dxa"/>
              <w:bottom w:w="0" w:type="dxa"/>
              <w:right w:w="108" w:type="dxa"/>
            </w:tcMar>
            <w:hideMark/>
          </w:tcPr>
          <w:p w14:paraId="6E4E2F25" w14:textId="77777777" w:rsidR="00352F37" w:rsidRPr="00E80D35" w:rsidRDefault="00352F37" w:rsidP="007667A1">
            <w:pPr>
              <w:pStyle w:val="tableparagraph0"/>
              <w:spacing w:line="227" w:lineRule="exact"/>
              <w:ind w:left="97"/>
              <w:rPr>
                <w:sz w:val="22"/>
                <w:szCs w:val="22"/>
              </w:rPr>
            </w:pPr>
            <w:r w:rsidRPr="00E80D35">
              <w:rPr>
                <w:b/>
                <w:bCs/>
                <w:sz w:val="22"/>
                <w:szCs w:val="22"/>
                <w:lang w:val="en-US"/>
              </w:rPr>
              <w:t>Complex products with potential multiple investment accounts; and /or products with returns linked to the performance of an underlying financial asset</w:t>
            </w:r>
          </w:p>
          <w:p w14:paraId="6E4E2F26" w14:textId="77777777" w:rsidR="00352F37" w:rsidRPr="00E80D35" w:rsidRDefault="00352F37" w:rsidP="005534CF">
            <w:pPr>
              <w:pStyle w:val="tableparagraph0"/>
              <w:spacing w:before="0" w:beforeAutospacing="0" w:after="0" w:afterAutospacing="0"/>
              <w:ind w:left="96"/>
              <w:rPr>
                <w:sz w:val="22"/>
                <w:szCs w:val="22"/>
              </w:rPr>
            </w:pPr>
            <w:r w:rsidRPr="00E80D35">
              <w:rPr>
                <w:bCs/>
                <w:i/>
                <w:sz w:val="22"/>
                <w:szCs w:val="22"/>
                <w:lang w:val="en-US"/>
              </w:rPr>
              <w:t>Example of product names</w:t>
            </w:r>
            <w:r w:rsidRPr="00E80D35">
              <w:rPr>
                <w:bCs/>
                <w:sz w:val="22"/>
                <w:szCs w:val="22"/>
                <w:lang w:val="en-US"/>
              </w:rPr>
              <w:t>:</w:t>
            </w:r>
          </w:p>
          <w:p w14:paraId="6E4E2F27"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Universal Life</w:t>
            </w:r>
          </w:p>
          <w:p w14:paraId="6E4E2F28"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Variable Universal Life</w:t>
            </w:r>
          </w:p>
          <w:p w14:paraId="6E4E2F29"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Wrapper Insurance</w:t>
            </w:r>
          </w:p>
          <w:p w14:paraId="6E4E2F2A"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Investment Linked Policies</w:t>
            </w:r>
          </w:p>
          <w:p w14:paraId="6E4E2F2B"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Unit Linked Policies</w:t>
            </w:r>
          </w:p>
          <w:p w14:paraId="6E4E2F2C"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Investment Linked Assurance Schemes</w:t>
            </w:r>
            <w:r w:rsidRPr="00E80D35">
              <w:rPr>
                <w:b/>
                <w:bCs/>
                <w:sz w:val="22"/>
                <w:szCs w:val="22"/>
                <w:lang w:val="en-US"/>
              </w:rPr>
              <w:t xml:space="preserve"> </w:t>
            </w:r>
          </w:p>
        </w:tc>
        <w:tc>
          <w:tcPr>
            <w:tcW w:w="0" w:type="auto"/>
            <w:shd w:val="clear" w:color="auto" w:fill="EDF0F7"/>
            <w:tcMar>
              <w:top w:w="0" w:type="dxa"/>
              <w:left w:w="108" w:type="dxa"/>
              <w:bottom w:w="0" w:type="dxa"/>
              <w:right w:w="108" w:type="dxa"/>
            </w:tcMar>
            <w:hideMark/>
          </w:tcPr>
          <w:p w14:paraId="6E4E2F2D"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szCs w:val="22"/>
              </w:rPr>
              <w:t>offers the ability to hold funds and/or assets</w:t>
            </w:r>
          </w:p>
          <w:p w14:paraId="6E4E2F2E"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szCs w:val="22"/>
              </w:rPr>
              <w:t>may offer the option of asset transfers into the policy</w:t>
            </w:r>
          </w:p>
          <w:p w14:paraId="6E4E2F2F"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szCs w:val="22"/>
              </w:rPr>
              <w:t xml:space="preserve">full or partial underlying investments under control of the customer </w:t>
            </w:r>
          </w:p>
          <w:p w14:paraId="6E4E2F30"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szCs w:val="22"/>
              </w:rPr>
              <w:t>may have a high limit for funds held</w:t>
            </w:r>
          </w:p>
        </w:tc>
        <w:tc>
          <w:tcPr>
            <w:tcW w:w="0" w:type="auto"/>
            <w:shd w:val="clear" w:color="auto" w:fill="EDF0F7"/>
            <w:tcMar>
              <w:top w:w="0" w:type="dxa"/>
              <w:left w:w="108" w:type="dxa"/>
              <w:bottom w:w="0" w:type="dxa"/>
              <w:right w:w="108" w:type="dxa"/>
            </w:tcMar>
            <w:hideMark/>
          </w:tcPr>
          <w:p w14:paraId="6E4E2F31"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b/>
                <w:spacing w:val="-4"/>
                <w:szCs w:val="22"/>
              </w:rPr>
              <w:t>higher risk</w:t>
            </w:r>
            <w:r w:rsidRPr="00E80D35">
              <w:rPr>
                <w:spacing w:val="-4"/>
                <w:szCs w:val="22"/>
              </w:rPr>
              <w:t xml:space="preserve"> compared with other life insurance products</w:t>
            </w:r>
          </w:p>
        </w:tc>
      </w:tr>
      <w:tr w:rsidR="00352F37" w14:paraId="6E4E2F3A" w14:textId="77777777" w:rsidTr="007667A1">
        <w:trPr>
          <w:jc w:val="center"/>
        </w:trPr>
        <w:tc>
          <w:tcPr>
            <w:tcW w:w="0" w:type="auto"/>
            <w:shd w:val="clear" w:color="auto" w:fill="FFFFFF"/>
            <w:tcMar>
              <w:top w:w="0" w:type="dxa"/>
              <w:left w:w="108" w:type="dxa"/>
              <w:bottom w:w="0" w:type="dxa"/>
              <w:right w:w="108" w:type="dxa"/>
            </w:tcMar>
            <w:hideMark/>
          </w:tcPr>
          <w:p w14:paraId="6E4E2F33" w14:textId="77777777" w:rsidR="00352F37" w:rsidRPr="00E80D35" w:rsidRDefault="00352F37" w:rsidP="005534CF">
            <w:pPr>
              <w:pStyle w:val="tableparagraph0"/>
              <w:spacing w:before="120" w:beforeAutospacing="0" w:after="0" w:afterAutospacing="0"/>
              <w:ind w:left="107"/>
              <w:rPr>
                <w:sz w:val="22"/>
                <w:szCs w:val="22"/>
              </w:rPr>
            </w:pPr>
            <w:r w:rsidRPr="00E80D35">
              <w:rPr>
                <w:b/>
                <w:bCs/>
                <w:sz w:val="22"/>
                <w:szCs w:val="22"/>
                <w:lang w:val="en-US"/>
              </w:rPr>
              <w:t>Products designed for High Net Worth (HNW) persons  or products for individual generally with guaranteed returns</w:t>
            </w:r>
          </w:p>
          <w:p w14:paraId="6E4E2F34" w14:textId="77777777" w:rsidR="00352F37" w:rsidRPr="00E80D35" w:rsidRDefault="00352F37" w:rsidP="005534CF">
            <w:pPr>
              <w:pStyle w:val="tableparagraph0"/>
              <w:spacing w:before="120" w:beforeAutospacing="0" w:after="0" w:afterAutospacing="0"/>
              <w:ind w:left="108"/>
              <w:rPr>
                <w:sz w:val="22"/>
                <w:szCs w:val="22"/>
              </w:rPr>
            </w:pPr>
            <w:r w:rsidRPr="00E80D35">
              <w:rPr>
                <w:bCs/>
                <w:i/>
                <w:sz w:val="22"/>
                <w:szCs w:val="22"/>
                <w:lang w:val="en-US"/>
              </w:rPr>
              <w:t>Example of product names</w:t>
            </w:r>
            <w:r w:rsidRPr="00E80D35">
              <w:rPr>
                <w:bCs/>
                <w:sz w:val="22"/>
                <w:szCs w:val="22"/>
                <w:lang w:val="en-US"/>
              </w:rPr>
              <w:t>:</w:t>
            </w:r>
          </w:p>
          <w:p w14:paraId="6E4E2F35" w14:textId="77777777" w:rsidR="00352F37" w:rsidRPr="00E80D35" w:rsidRDefault="00352F37" w:rsidP="005534CF">
            <w:pPr>
              <w:pStyle w:val="tableparagraph0"/>
              <w:spacing w:before="0" w:beforeAutospacing="0" w:after="0" w:afterAutospacing="0"/>
              <w:ind w:left="108"/>
              <w:rPr>
                <w:sz w:val="22"/>
                <w:szCs w:val="22"/>
              </w:rPr>
            </w:pPr>
            <w:r w:rsidRPr="00E80D35">
              <w:rPr>
                <w:bCs/>
                <w:sz w:val="22"/>
                <w:szCs w:val="22"/>
                <w:lang w:val="en-US"/>
              </w:rPr>
              <w:t>HNW Individual Life Insurance</w:t>
            </w:r>
            <w:r w:rsidRPr="00E80D35">
              <w:rPr>
                <w:bCs/>
                <w:sz w:val="22"/>
                <w:szCs w:val="22"/>
                <w:lang w:val="en-US"/>
              </w:rPr>
              <w:br/>
              <w:t>Traditional Whole Life</w:t>
            </w:r>
          </w:p>
        </w:tc>
        <w:tc>
          <w:tcPr>
            <w:tcW w:w="0" w:type="auto"/>
            <w:shd w:val="clear" w:color="auto" w:fill="FFFFFF"/>
            <w:tcMar>
              <w:top w:w="0" w:type="dxa"/>
              <w:left w:w="108" w:type="dxa"/>
              <w:bottom w:w="0" w:type="dxa"/>
              <w:right w:w="108" w:type="dxa"/>
            </w:tcMar>
            <w:hideMark/>
          </w:tcPr>
          <w:p w14:paraId="6E4E2F36" w14:textId="77777777" w:rsidR="00352F37" w:rsidRPr="00E80D35" w:rsidRDefault="00352F37" w:rsidP="00352F37">
            <w:pPr>
              <w:pStyle w:val="BulletedList"/>
              <w:numPr>
                <w:ilvl w:val="0"/>
                <w:numId w:val="23"/>
              </w:numPr>
              <w:tabs>
                <w:tab w:val="clear" w:pos="340"/>
              </w:tabs>
              <w:ind w:left="489" w:right="29" w:hanging="341"/>
              <w:rPr>
                <w:rFonts w:eastAsia="Times New Roman"/>
                <w:szCs w:val="22"/>
                <w:lang w:eastAsia="en-GB"/>
              </w:rPr>
            </w:pPr>
            <w:r w:rsidRPr="00E80D35">
              <w:rPr>
                <w:spacing w:val="-4"/>
                <w:szCs w:val="22"/>
              </w:rPr>
              <w:t>offers the ability to hold funds</w:t>
            </w:r>
          </w:p>
          <w:p w14:paraId="6E4E2F37"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spacing w:val="-4"/>
                <w:szCs w:val="22"/>
              </w:rPr>
              <w:t>only with high limit for funds held</w:t>
            </w:r>
          </w:p>
          <w:p w14:paraId="6E4E2F38" w14:textId="77777777" w:rsidR="00352F37" w:rsidRPr="0032166C" w:rsidRDefault="00352F37" w:rsidP="00352F37">
            <w:pPr>
              <w:pStyle w:val="BulletedList"/>
              <w:numPr>
                <w:ilvl w:val="0"/>
                <w:numId w:val="23"/>
              </w:numPr>
              <w:tabs>
                <w:tab w:val="clear" w:pos="340"/>
              </w:tabs>
              <w:ind w:left="489" w:right="29" w:hanging="341"/>
              <w:rPr>
                <w:szCs w:val="22"/>
              </w:rPr>
            </w:pPr>
            <w:r w:rsidRPr="00011E74">
              <w:rPr>
                <w:spacing w:val="-4"/>
                <w:szCs w:val="22"/>
              </w:rPr>
              <w:t>underlying investments managed by the insurer</w:t>
            </w:r>
          </w:p>
        </w:tc>
        <w:tc>
          <w:tcPr>
            <w:tcW w:w="0" w:type="auto"/>
            <w:shd w:val="clear" w:color="auto" w:fill="FFFFFF"/>
            <w:tcMar>
              <w:top w:w="0" w:type="dxa"/>
              <w:left w:w="108" w:type="dxa"/>
              <w:bottom w:w="0" w:type="dxa"/>
              <w:right w:w="108" w:type="dxa"/>
            </w:tcMar>
            <w:hideMark/>
          </w:tcPr>
          <w:p w14:paraId="6E4E2F39" w14:textId="77777777" w:rsidR="00352F37" w:rsidRPr="009C335E" w:rsidRDefault="00352F37" w:rsidP="00352F37">
            <w:pPr>
              <w:pStyle w:val="BulletedList"/>
              <w:numPr>
                <w:ilvl w:val="0"/>
                <w:numId w:val="23"/>
              </w:numPr>
              <w:tabs>
                <w:tab w:val="clear" w:pos="340"/>
              </w:tabs>
              <w:ind w:left="489" w:right="29" w:hanging="341"/>
              <w:rPr>
                <w:szCs w:val="22"/>
              </w:rPr>
            </w:pPr>
            <w:r w:rsidRPr="005D3406">
              <w:rPr>
                <w:b/>
                <w:spacing w:val="-4"/>
                <w:szCs w:val="22"/>
              </w:rPr>
              <w:t>higher/moderately high risk</w:t>
            </w:r>
            <w:r w:rsidRPr="003162E3">
              <w:rPr>
                <w:spacing w:val="-4"/>
                <w:szCs w:val="22"/>
              </w:rPr>
              <w:t xml:space="preserve"> compared with other life insurance products</w:t>
            </w:r>
          </w:p>
        </w:tc>
      </w:tr>
      <w:tr w:rsidR="00352F37" w14:paraId="6E4E2F43" w14:textId="77777777" w:rsidTr="007667A1">
        <w:trPr>
          <w:jc w:val="center"/>
        </w:trPr>
        <w:tc>
          <w:tcPr>
            <w:tcW w:w="0" w:type="auto"/>
            <w:shd w:val="clear" w:color="auto" w:fill="EDF0F7"/>
            <w:tcMar>
              <w:top w:w="0" w:type="dxa"/>
              <w:left w:w="108" w:type="dxa"/>
              <w:bottom w:w="0" w:type="dxa"/>
              <w:right w:w="108" w:type="dxa"/>
            </w:tcMar>
            <w:hideMark/>
          </w:tcPr>
          <w:p w14:paraId="6E4E2F3B" w14:textId="77777777" w:rsidR="00352F37" w:rsidRPr="00E80D35" w:rsidRDefault="00352F37" w:rsidP="007667A1">
            <w:pPr>
              <w:pStyle w:val="tableparagraph0"/>
              <w:spacing w:before="22" w:beforeAutospacing="0" w:after="0" w:afterAutospacing="0"/>
              <w:ind w:left="107"/>
              <w:rPr>
                <w:sz w:val="22"/>
                <w:szCs w:val="22"/>
              </w:rPr>
            </w:pPr>
            <w:r w:rsidRPr="00E80D35">
              <w:rPr>
                <w:b/>
                <w:bCs/>
                <w:sz w:val="22"/>
                <w:szCs w:val="22"/>
                <w:lang w:val="en-US"/>
              </w:rPr>
              <w:t>Product that pays a periodic income benefit for the life of a person</w:t>
            </w:r>
          </w:p>
          <w:p w14:paraId="6E4E2F3C" w14:textId="77777777" w:rsidR="00352F37" w:rsidRPr="00E80D35" w:rsidRDefault="00352F37" w:rsidP="005534CF">
            <w:pPr>
              <w:pStyle w:val="tableparagraph0"/>
              <w:spacing w:after="0" w:afterAutospacing="0"/>
              <w:ind w:left="96"/>
              <w:rPr>
                <w:i/>
                <w:sz w:val="22"/>
                <w:szCs w:val="22"/>
              </w:rPr>
            </w:pPr>
            <w:r w:rsidRPr="00E80D35">
              <w:rPr>
                <w:bCs/>
                <w:i/>
                <w:sz w:val="22"/>
                <w:szCs w:val="22"/>
                <w:lang w:val="en-US"/>
              </w:rPr>
              <w:t xml:space="preserve">Example of product name: </w:t>
            </w:r>
          </w:p>
          <w:p w14:paraId="6E4E2F3D" w14:textId="77777777" w:rsidR="00352F37" w:rsidRPr="00E80D35" w:rsidRDefault="00352F37" w:rsidP="005534CF">
            <w:pPr>
              <w:pStyle w:val="tableparagraph0"/>
              <w:spacing w:before="0" w:beforeAutospacing="0"/>
              <w:ind w:left="96"/>
              <w:rPr>
                <w:sz w:val="22"/>
                <w:szCs w:val="22"/>
              </w:rPr>
            </w:pPr>
            <w:r w:rsidRPr="00E80D35">
              <w:rPr>
                <w:bCs/>
                <w:sz w:val="22"/>
                <w:szCs w:val="22"/>
                <w:lang w:val="en-US"/>
              </w:rPr>
              <w:t>Fixed and Variable Annuities</w:t>
            </w:r>
          </w:p>
        </w:tc>
        <w:tc>
          <w:tcPr>
            <w:tcW w:w="0" w:type="auto"/>
            <w:shd w:val="clear" w:color="auto" w:fill="EDF0F7"/>
            <w:tcMar>
              <w:top w:w="0" w:type="dxa"/>
              <w:left w:w="108" w:type="dxa"/>
              <w:bottom w:w="0" w:type="dxa"/>
              <w:right w:w="108" w:type="dxa"/>
            </w:tcMar>
            <w:hideMark/>
          </w:tcPr>
          <w:p w14:paraId="6E4E2F3E"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offers the ability to hold funds</w:t>
            </w:r>
          </w:p>
          <w:p w14:paraId="6E4E2F3F"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may have a high limit for funds held</w:t>
            </w:r>
          </w:p>
          <w:p w14:paraId="6E4E2F40"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accumulation period followed by a liquidation period</w:t>
            </w:r>
          </w:p>
          <w:p w14:paraId="6E4E2F41"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underlying investments managed by the insurer</w:t>
            </w:r>
          </w:p>
        </w:tc>
        <w:tc>
          <w:tcPr>
            <w:tcW w:w="0" w:type="auto"/>
            <w:shd w:val="clear" w:color="auto" w:fill="EDF0F7"/>
            <w:tcMar>
              <w:top w:w="0" w:type="dxa"/>
              <w:left w:w="108" w:type="dxa"/>
              <w:bottom w:w="0" w:type="dxa"/>
              <w:right w:w="108" w:type="dxa"/>
            </w:tcMar>
            <w:hideMark/>
          </w:tcPr>
          <w:p w14:paraId="6E4E2F42"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b/>
                <w:spacing w:val="-4"/>
                <w:szCs w:val="22"/>
              </w:rPr>
              <w:t>moderate risk</w:t>
            </w:r>
            <w:r w:rsidRPr="00E80D35">
              <w:rPr>
                <w:spacing w:val="-4"/>
                <w:szCs w:val="22"/>
              </w:rPr>
              <w:t xml:space="preserve">  compared with other  life insurance products</w:t>
            </w:r>
          </w:p>
        </w:tc>
      </w:tr>
      <w:tr w:rsidR="00352F37" w14:paraId="6E4E2F4A" w14:textId="77777777" w:rsidTr="007667A1">
        <w:trPr>
          <w:jc w:val="center"/>
        </w:trPr>
        <w:tc>
          <w:tcPr>
            <w:tcW w:w="0" w:type="auto"/>
            <w:shd w:val="clear" w:color="auto" w:fill="FFFFFF"/>
            <w:tcMar>
              <w:top w:w="0" w:type="dxa"/>
              <w:left w:w="108" w:type="dxa"/>
              <w:bottom w:w="0" w:type="dxa"/>
              <w:right w:w="108" w:type="dxa"/>
            </w:tcMar>
            <w:hideMark/>
          </w:tcPr>
          <w:p w14:paraId="6E4E2F44" w14:textId="77777777" w:rsidR="00352F37" w:rsidRPr="00E80D35" w:rsidRDefault="00352F37" w:rsidP="007667A1">
            <w:pPr>
              <w:pStyle w:val="tableparagraph0"/>
              <w:ind w:left="97"/>
              <w:rPr>
                <w:sz w:val="22"/>
                <w:szCs w:val="22"/>
              </w:rPr>
            </w:pPr>
            <w:r w:rsidRPr="00E80D35">
              <w:rPr>
                <w:b/>
                <w:bCs/>
                <w:sz w:val="22"/>
                <w:szCs w:val="22"/>
                <w:lang w:val="en-US"/>
              </w:rPr>
              <w:t xml:space="preserve">Product designed to </w:t>
            </w:r>
            <w:r w:rsidRPr="00E80D35">
              <w:rPr>
                <w:b/>
                <w:bCs/>
                <w:sz w:val="22"/>
                <w:szCs w:val="22"/>
                <w:lang w:val="en-US"/>
              </w:rPr>
              <w:lastRenderedPageBreak/>
              <w:t>provide endowments for an individual or an institution</w:t>
            </w:r>
          </w:p>
          <w:p w14:paraId="6E4E2F45" w14:textId="77777777" w:rsidR="00352F37" w:rsidRPr="00E80D35" w:rsidRDefault="00352F37" w:rsidP="005534CF">
            <w:pPr>
              <w:pStyle w:val="tableparagraph0"/>
              <w:spacing w:after="0" w:afterAutospacing="0"/>
              <w:ind w:left="96"/>
              <w:rPr>
                <w:sz w:val="22"/>
                <w:szCs w:val="22"/>
              </w:rPr>
            </w:pPr>
            <w:r w:rsidRPr="00E80D35">
              <w:rPr>
                <w:bCs/>
                <w:i/>
                <w:sz w:val="22"/>
                <w:szCs w:val="22"/>
                <w:lang w:val="en-US"/>
              </w:rPr>
              <w:t>Example of product name</w:t>
            </w:r>
            <w:r w:rsidRPr="00E80D35">
              <w:rPr>
                <w:bCs/>
                <w:sz w:val="22"/>
                <w:szCs w:val="22"/>
                <w:lang w:val="en-US"/>
              </w:rPr>
              <w:t>:</w:t>
            </w:r>
          </w:p>
          <w:p w14:paraId="6E4E2F46" w14:textId="77777777" w:rsidR="00352F37" w:rsidRPr="00E80D35" w:rsidRDefault="00352F37" w:rsidP="005534CF">
            <w:pPr>
              <w:pStyle w:val="tableparagraph0"/>
              <w:spacing w:before="0" w:beforeAutospacing="0"/>
              <w:ind w:left="96"/>
              <w:rPr>
                <w:sz w:val="22"/>
                <w:szCs w:val="22"/>
              </w:rPr>
            </w:pPr>
            <w:r w:rsidRPr="00E80D35">
              <w:rPr>
                <w:bCs/>
                <w:sz w:val="22"/>
                <w:szCs w:val="22"/>
                <w:lang w:val="en-US"/>
              </w:rPr>
              <w:t>Endowments</w:t>
            </w:r>
          </w:p>
        </w:tc>
        <w:tc>
          <w:tcPr>
            <w:tcW w:w="0" w:type="auto"/>
            <w:shd w:val="clear" w:color="auto" w:fill="FFFFFF"/>
            <w:tcMar>
              <w:top w:w="0" w:type="dxa"/>
              <w:left w:w="108" w:type="dxa"/>
              <w:bottom w:w="0" w:type="dxa"/>
              <w:right w:w="108" w:type="dxa"/>
            </w:tcMar>
            <w:hideMark/>
          </w:tcPr>
          <w:p w14:paraId="6E4E2F47" w14:textId="77777777" w:rsidR="00352F37" w:rsidRPr="00E80D35" w:rsidRDefault="00352F37" w:rsidP="00352F37">
            <w:pPr>
              <w:pStyle w:val="BulletedList"/>
              <w:numPr>
                <w:ilvl w:val="0"/>
                <w:numId w:val="23"/>
              </w:numPr>
              <w:tabs>
                <w:tab w:val="clear" w:pos="340"/>
              </w:tabs>
              <w:ind w:left="489" w:right="29" w:hanging="341"/>
              <w:rPr>
                <w:rFonts w:eastAsia="Times New Roman"/>
                <w:szCs w:val="22"/>
                <w:lang w:eastAsia="en-GB"/>
              </w:rPr>
            </w:pPr>
            <w:r w:rsidRPr="00E80D35">
              <w:rPr>
                <w:spacing w:val="-4"/>
                <w:szCs w:val="22"/>
              </w:rPr>
              <w:lastRenderedPageBreak/>
              <w:t xml:space="preserve">may offer the ability </w:t>
            </w:r>
            <w:r w:rsidRPr="00E80D35">
              <w:rPr>
                <w:spacing w:val="-4"/>
                <w:szCs w:val="22"/>
              </w:rPr>
              <w:lastRenderedPageBreak/>
              <w:t>to hold funds</w:t>
            </w:r>
          </w:p>
          <w:p w14:paraId="6E4E2F48" w14:textId="77777777" w:rsidR="00352F37" w:rsidRPr="00011E74" w:rsidRDefault="00352F37" w:rsidP="00352F37">
            <w:pPr>
              <w:pStyle w:val="BulletedList"/>
              <w:numPr>
                <w:ilvl w:val="0"/>
                <w:numId w:val="23"/>
              </w:numPr>
              <w:tabs>
                <w:tab w:val="clear" w:pos="340"/>
              </w:tabs>
              <w:ind w:left="489" w:right="29" w:hanging="341"/>
              <w:rPr>
                <w:szCs w:val="22"/>
              </w:rPr>
            </w:pPr>
            <w:r w:rsidRPr="00E80D35">
              <w:rPr>
                <w:spacing w:val="-4"/>
                <w:szCs w:val="22"/>
              </w:rPr>
              <w:t>underlying investments managed by the insurer</w:t>
            </w:r>
          </w:p>
        </w:tc>
        <w:tc>
          <w:tcPr>
            <w:tcW w:w="0" w:type="auto"/>
            <w:shd w:val="clear" w:color="auto" w:fill="FFFFFF"/>
            <w:tcMar>
              <w:top w:w="0" w:type="dxa"/>
              <w:left w:w="108" w:type="dxa"/>
              <w:bottom w:w="0" w:type="dxa"/>
              <w:right w:w="108" w:type="dxa"/>
            </w:tcMar>
            <w:hideMark/>
          </w:tcPr>
          <w:p w14:paraId="6E4E2F49" w14:textId="77777777" w:rsidR="00352F37" w:rsidRPr="005D3406" w:rsidRDefault="00352F37" w:rsidP="00352F37">
            <w:pPr>
              <w:pStyle w:val="BulletedList"/>
              <w:numPr>
                <w:ilvl w:val="0"/>
                <w:numId w:val="23"/>
              </w:numPr>
              <w:tabs>
                <w:tab w:val="clear" w:pos="340"/>
              </w:tabs>
              <w:ind w:left="489" w:right="29" w:hanging="341"/>
              <w:rPr>
                <w:szCs w:val="22"/>
              </w:rPr>
            </w:pPr>
            <w:r w:rsidRPr="0032166C">
              <w:rPr>
                <w:b/>
                <w:spacing w:val="-4"/>
                <w:szCs w:val="22"/>
              </w:rPr>
              <w:lastRenderedPageBreak/>
              <w:t>moderate risk</w:t>
            </w:r>
            <w:r w:rsidRPr="0032166C">
              <w:rPr>
                <w:spacing w:val="-4"/>
                <w:szCs w:val="22"/>
              </w:rPr>
              <w:t xml:space="preserve">  </w:t>
            </w:r>
            <w:r w:rsidRPr="0032166C">
              <w:rPr>
                <w:spacing w:val="-4"/>
                <w:szCs w:val="22"/>
              </w:rPr>
              <w:lastRenderedPageBreak/>
              <w:t>compared with other life insurance products</w:t>
            </w:r>
          </w:p>
        </w:tc>
      </w:tr>
      <w:tr w:rsidR="00352F37" w14:paraId="6E4E2F52" w14:textId="77777777" w:rsidTr="007667A1">
        <w:trPr>
          <w:jc w:val="center"/>
        </w:trPr>
        <w:tc>
          <w:tcPr>
            <w:tcW w:w="0" w:type="auto"/>
            <w:shd w:val="clear" w:color="auto" w:fill="EDF0F7"/>
            <w:tcMar>
              <w:top w:w="0" w:type="dxa"/>
              <w:left w:w="108" w:type="dxa"/>
              <w:bottom w:w="0" w:type="dxa"/>
              <w:right w:w="108" w:type="dxa"/>
            </w:tcMar>
            <w:hideMark/>
          </w:tcPr>
          <w:p w14:paraId="6E4E2F4B" w14:textId="77777777" w:rsidR="00352F37" w:rsidRPr="00E80D35" w:rsidRDefault="00352F37" w:rsidP="005534CF">
            <w:pPr>
              <w:pStyle w:val="tableparagraph0"/>
              <w:spacing w:before="120" w:beforeAutospacing="0" w:after="0" w:afterAutospacing="0"/>
              <w:ind w:left="108"/>
              <w:rPr>
                <w:sz w:val="22"/>
                <w:szCs w:val="22"/>
              </w:rPr>
            </w:pPr>
            <w:r w:rsidRPr="00E80D35">
              <w:rPr>
                <w:b/>
                <w:bCs/>
                <w:sz w:val="22"/>
                <w:szCs w:val="22"/>
                <w:lang w:val="en-US"/>
              </w:rPr>
              <w:lastRenderedPageBreak/>
              <w:t>Product subscribed by a company to pay a periodic income benefit for the life of employees</w:t>
            </w:r>
          </w:p>
          <w:p w14:paraId="6E4E2F4C" w14:textId="77777777" w:rsidR="00352F37" w:rsidRPr="00E80D35" w:rsidRDefault="00352F37" w:rsidP="005534CF">
            <w:pPr>
              <w:pStyle w:val="tableparagraph0"/>
              <w:spacing w:after="0" w:afterAutospacing="0"/>
              <w:ind w:left="96"/>
              <w:rPr>
                <w:i/>
                <w:sz w:val="22"/>
                <w:szCs w:val="22"/>
              </w:rPr>
            </w:pPr>
            <w:r w:rsidRPr="00E80D35">
              <w:rPr>
                <w:bCs/>
                <w:i/>
                <w:sz w:val="22"/>
                <w:szCs w:val="22"/>
                <w:lang w:val="en-US"/>
              </w:rPr>
              <w:t>Example of product name:</w:t>
            </w:r>
          </w:p>
          <w:p w14:paraId="6E4E2F4D" w14:textId="77777777" w:rsidR="00352F37" w:rsidRPr="00E80D35" w:rsidRDefault="00352F37" w:rsidP="005534CF">
            <w:pPr>
              <w:pStyle w:val="tableparagraph0"/>
              <w:spacing w:before="0" w:beforeAutospacing="0"/>
              <w:ind w:left="96"/>
              <w:rPr>
                <w:sz w:val="22"/>
                <w:szCs w:val="22"/>
              </w:rPr>
            </w:pPr>
            <w:r w:rsidRPr="00E80D35">
              <w:rPr>
                <w:bCs/>
                <w:sz w:val="22"/>
                <w:szCs w:val="22"/>
                <w:lang w:val="en-US"/>
              </w:rPr>
              <w:t>Group Annuities</w:t>
            </w:r>
          </w:p>
        </w:tc>
        <w:tc>
          <w:tcPr>
            <w:tcW w:w="0" w:type="auto"/>
            <w:shd w:val="clear" w:color="auto" w:fill="EDF0F7"/>
            <w:tcMar>
              <w:top w:w="0" w:type="dxa"/>
              <w:left w:w="108" w:type="dxa"/>
              <w:bottom w:w="0" w:type="dxa"/>
              <w:right w:w="108" w:type="dxa"/>
            </w:tcMar>
            <w:hideMark/>
          </w:tcPr>
          <w:p w14:paraId="6E4E2F4E"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typically used for retirement savings</w:t>
            </w:r>
          </w:p>
          <w:p w14:paraId="6E4E2F4F"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 xml:space="preserve">generally subscribed by a company in order to provide a future benefit to its employees </w:t>
            </w:r>
          </w:p>
          <w:p w14:paraId="6E4E2F50" w14:textId="77777777" w:rsidR="00352F37" w:rsidRPr="00E80D35" w:rsidRDefault="00352F37" w:rsidP="00352F37">
            <w:pPr>
              <w:pStyle w:val="BulletedList"/>
              <w:numPr>
                <w:ilvl w:val="0"/>
                <w:numId w:val="23"/>
              </w:numPr>
              <w:tabs>
                <w:tab w:val="clear" w:pos="340"/>
              </w:tabs>
              <w:ind w:left="489" w:right="29" w:hanging="341"/>
              <w:rPr>
                <w:spacing w:val="-4"/>
                <w:szCs w:val="22"/>
              </w:rPr>
            </w:pPr>
            <w:r w:rsidRPr="00E80D35">
              <w:rPr>
                <w:spacing w:val="-4"/>
                <w:szCs w:val="22"/>
              </w:rPr>
              <w:t>underlying investments managed by the insurer</w:t>
            </w:r>
          </w:p>
        </w:tc>
        <w:tc>
          <w:tcPr>
            <w:tcW w:w="0" w:type="auto"/>
            <w:shd w:val="clear" w:color="auto" w:fill="EDF0F7"/>
            <w:tcMar>
              <w:top w:w="0" w:type="dxa"/>
              <w:left w:w="108" w:type="dxa"/>
              <w:bottom w:w="0" w:type="dxa"/>
              <w:right w:w="108" w:type="dxa"/>
            </w:tcMar>
            <w:hideMark/>
          </w:tcPr>
          <w:p w14:paraId="6E4E2F51" w14:textId="77777777" w:rsidR="00352F37" w:rsidRPr="00E80D35" w:rsidRDefault="00352F37" w:rsidP="00352F37">
            <w:pPr>
              <w:pStyle w:val="BulletedList"/>
              <w:numPr>
                <w:ilvl w:val="0"/>
                <w:numId w:val="23"/>
              </w:numPr>
              <w:tabs>
                <w:tab w:val="clear" w:pos="340"/>
              </w:tabs>
              <w:ind w:left="489" w:right="29" w:hanging="341"/>
              <w:rPr>
                <w:szCs w:val="22"/>
              </w:rPr>
            </w:pPr>
            <w:r w:rsidRPr="00E80D35">
              <w:rPr>
                <w:b/>
                <w:spacing w:val="-4"/>
                <w:szCs w:val="22"/>
              </w:rPr>
              <w:t>lower risk</w:t>
            </w:r>
            <w:r w:rsidRPr="00E80D35">
              <w:rPr>
                <w:spacing w:val="-4"/>
                <w:szCs w:val="22"/>
              </w:rPr>
              <w:t xml:space="preserve"> compared with other life insurance products</w:t>
            </w:r>
          </w:p>
        </w:tc>
      </w:tr>
      <w:tr w:rsidR="00352F37" w14:paraId="6E4E2F5B" w14:textId="77777777" w:rsidTr="007667A1">
        <w:trPr>
          <w:jc w:val="center"/>
        </w:trPr>
        <w:tc>
          <w:tcPr>
            <w:tcW w:w="0" w:type="auto"/>
            <w:shd w:val="clear" w:color="auto" w:fill="FFFFFF"/>
            <w:tcMar>
              <w:top w:w="0" w:type="dxa"/>
              <w:left w:w="108" w:type="dxa"/>
              <w:bottom w:w="0" w:type="dxa"/>
              <w:right w:w="108" w:type="dxa"/>
            </w:tcMar>
            <w:hideMark/>
          </w:tcPr>
          <w:p w14:paraId="6E4E2F53" w14:textId="77777777" w:rsidR="00352F37" w:rsidRPr="00E80D35" w:rsidRDefault="00352F37" w:rsidP="007667A1">
            <w:pPr>
              <w:pStyle w:val="tableparagraph0"/>
              <w:ind w:left="97"/>
              <w:rPr>
                <w:sz w:val="22"/>
                <w:szCs w:val="22"/>
              </w:rPr>
            </w:pPr>
            <w:r w:rsidRPr="00E80D35">
              <w:rPr>
                <w:b/>
                <w:bCs/>
                <w:sz w:val="22"/>
                <w:szCs w:val="22"/>
                <w:lang w:val="en-US"/>
              </w:rPr>
              <w:t xml:space="preserve">Product that pays a lump sum, or an annuity to the beneficiary, in the event of the death of the insured, in the event of a long-term care or critical illness </w:t>
            </w:r>
          </w:p>
          <w:p w14:paraId="6F973CF9" w14:textId="77777777" w:rsidR="005534CF" w:rsidRPr="00E80D35" w:rsidRDefault="005534CF" w:rsidP="005534CF">
            <w:pPr>
              <w:pStyle w:val="tableparagraph0"/>
              <w:spacing w:after="0" w:afterAutospacing="0"/>
              <w:ind w:left="96"/>
              <w:rPr>
                <w:i/>
                <w:sz w:val="22"/>
                <w:szCs w:val="22"/>
              </w:rPr>
            </w:pPr>
            <w:r w:rsidRPr="00E80D35">
              <w:rPr>
                <w:bCs/>
                <w:i/>
                <w:sz w:val="22"/>
                <w:szCs w:val="22"/>
                <w:lang w:val="en-US"/>
              </w:rPr>
              <w:t>Example of product name:</w:t>
            </w:r>
          </w:p>
          <w:p w14:paraId="6E4E2F55"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Term Life Individual</w:t>
            </w:r>
          </w:p>
          <w:p w14:paraId="6E4E2F56"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Group Long-term Care</w:t>
            </w:r>
          </w:p>
          <w:p w14:paraId="6E4E2F57" w14:textId="77777777" w:rsidR="00352F37" w:rsidRPr="00E80D35" w:rsidRDefault="00352F37" w:rsidP="005534CF">
            <w:pPr>
              <w:pStyle w:val="tableparagraph0"/>
              <w:spacing w:before="0" w:beforeAutospacing="0" w:after="0" w:afterAutospacing="0"/>
              <w:ind w:left="96"/>
              <w:rPr>
                <w:sz w:val="22"/>
                <w:szCs w:val="22"/>
              </w:rPr>
            </w:pPr>
            <w:r w:rsidRPr="00E80D35">
              <w:rPr>
                <w:bCs/>
                <w:sz w:val="22"/>
                <w:szCs w:val="22"/>
                <w:lang w:val="en-US"/>
              </w:rPr>
              <w:t>Critical Illness</w:t>
            </w:r>
          </w:p>
        </w:tc>
        <w:tc>
          <w:tcPr>
            <w:tcW w:w="0" w:type="auto"/>
            <w:shd w:val="clear" w:color="auto" w:fill="FFFFFF"/>
            <w:tcMar>
              <w:top w:w="0" w:type="dxa"/>
              <w:left w:w="108" w:type="dxa"/>
              <w:bottom w:w="0" w:type="dxa"/>
              <w:right w:w="108" w:type="dxa"/>
            </w:tcMar>
            <w:hideMark/>
          </w:tcPr>
          <w:p w14:paraId="6E4E2F58" w14:textId="77777777" w:rsidR="00352F37" w:rsidRPr="00E80D35" w:rsidRDefault="00352F37" w:rsidP="00352F37">
            <w:pPr>
              <w:pStyle w:val="BulletedList"/>
              <w:numPr>
                <w:ilvl w:val="0"/>
                <w:numId w:val="23"/>
              </w:numPr>
              <w:tabs>
                <w:tab w:val="clear" w:pos="340"/>
              </w:tabs>
              <w:ind w:left="489" w:right="29" w:hanging="341"/>
              <w:rPr>
                <w:rFonts w:eastAsia="Times New Roman"/>
                <w:szCs w:val="22"/>
                <w:lang w:eastAsia="en-GB"/>
              </w:rPr>
            </w:pPr>
            <w:r w:rsidRPr="00E80D35">
              <w:rPr>
                <w:spacing w:val="-4"/>
                <w:szCs w:val="22"/>
              </w:rPr>
              <w:t>no ability to hold funds</w:t>
            </w:r>
          </w:p>
          <w:p w14:paraId="6E4E2F59" w14:textId="77777777" w:rsidR="00352F37" w:rsidRPr="00011E74" w:rsidRDefault="00352F37" w:rsidP="00352F37">
            <w:pPr>
              <w:pStyle w:val="BulletedList"/>
              <w:numPr>
                <w:ilvl w:val="0"/>
                <w:numId w:val="23"/>
              </w:numPr>
              <w:tabs>
                <w:tab w:val="clear" w:pos="340"/>
              </w:tabs>
              <w:ind w:left="489" w:right="29" w:hanging="341"/>
              <w:rPr>
                <w:szCs w:val="22"/>
              </w:rPr>
            </w:pPr>
            <w:r w:rsidRPr="00E80D35">
              <w:rPr>
                <w:spacing w:val="-4"/>
                <w:szCs w:val="22"/>
              </w:rPr>
              <w:t>generally payments only in case of a specific external event</w:t>
            </w:r>
          </w:p>
        </w:tc>
        <w:tc>
          <w:tcPr>
            <w:tcW w:w="0" w:type="auto"/>
            <w:shd w:val="clear" w:color="auto" w:fill="FFFFFF"/>
            <w:tcMar>
              <w:top w:w="0" w:type="dxa"/>
              <w:left w:w="108" w:type="dxa"/>
              <w:bottom w:w="0" w:type="dxa"/>
              <w:right w:w="108" w:type="dxa"/>
            </w:tcMar>
            <w:hideMark/>
          </w:tcPr>
          <w:p w14:paraId="6E4E2F5A" w14:textId="77777777" w:rsidR="00352F37" w:rsidRPr="005D3406" w:rsidRDefault="00352F37" w:rsidP="00352F37">
            <w:pPr>
              <w:pStyle w:val="BulletedList"/>
              <w:numPr>
                <w:ilvl w:val="0"/>
                <w:numId w:val="23"/>
              </w:numPr>
              <w:tabs>
                <w:tab w:val="clear" w:pos="340"/>
              </w:tabs>
              <w:ind w:left="489" w:right="29" w:hanging="341"/>
              <w:rPr>
                <w:szCs w:val="22"/>
              </w:rPr>
            </w:pPr>
            <w:r w:rsidRPr="0032166C">
              <w:rPr>
                <w:b/>
                <w:spacing w:val="-4"/>
                <w:szCs w:val="22"/>
              </w:rPr>
              <w:t>lower risk</w:t>
            </w:r>
            <w:r w:rsidRPr="0032166C">
              <w:rPr>
                <w:spacing w:val="-4"/>
                <w:szCs w:val="22"/>
              </w:rPr>
              <w:t xml:space="preserve"> compared with other life insurance products</w:t>
            </w:r>
          </w:p>
        </w:tc>
      </w:tr>
    </w:tbl>
    <w:p w14:paraId="6E4E2F5C" w14:textId="77777777" w:rsidR="00352F37" w:rsidRDefault="00352F37" w:rsidP="00352F37">
      <w:pPr>
        <w:pStyle w:val="Heading3"/>
        <w:numPr>
          <w:ilvl w:val="2"/>
          <w:numId w:val="13"/>
        </w:numPr>
      </w:pPr>
      <w:bookmarkStart w:id="17" w:name="_Toc517968026"/>
      <w:r>
        <w:t>Insurance distribution channels and intermediaries</w:t>
      </w:r>
      <w:bookmarkEnd w:id="17"/>
      <w:r>
        <w:t xml:space="preserve"> </w:t>
      </w:r>
    </w:p>
    <w:p w14:paraId="6E4E2F5D" w14:textId="45625108" w:rsidR="00352F37" w:rsidRDefault="00352F37" w:rsidP="00352F37">
      <w:pPr>
        <w:pStyle w:val="Para"/>
      </w:pPr>
      <w:r>
        <w:t xml:space="preserve">Life insurance is sold through a variety of distribution channels. A significant proportion of life insurance policies are sold through intermediaries where the life insurer will </w:t>
      </w:r>
      <w:r w:rsidR="00624AAA">
        <w:t xml:space="preserve">have limited or </w:t>
      </w:r>
      <w:r>
        <w:t>no direct contact with the policy holder. In a number of cases, the intermediaries have the initial interaction with the customer. Life insurance policies are also sold online, where there may not be any face to face interaction with the customer by the insurer or intermediary. When identifying and evaluating the ML/TF risk associated with the method through which the product is sold, the life insurer</w:t>
      </w:r>
      <w:r w:rsidR="00624AAA">
        <w:t>, and supervisors,</w:t>
      </w:r>
      <w:r>
        <w:t xml:space="preserve"> </w:t>
      </w:r>
      <w:proofErr w:type="gramStart"/>
      <w:r w:rsidR="00624AAA">
        <w:t xml:space="preserve">should </w:t>
      </w:r>
      <w:r>
        <w:t xml:space="preserve"> consider</w:t>
      </w:r>
      <w:proofErr w:type="gramEnd"/>
      <w:r>
        <w:t xml:space="preserve"> the risks related to the intermediary used and the nature of their relationship</w:t>
      </w:r>
      <w:r w:rsidRPr="00780B7E">
        <w:t xml:space="preserve"> </w:t>
      </w:r>
      <w:r>
        <w:t xml:space="preserve">with the life insurer and the customer. </w:t>
      </w:r>
    </w:p>
    <w:p w14:paraId="6E4E2F5E" w14:textId="77777777" w:rsidR="00352F37" w:rsidRDefault="00352F37" w:rsidP="00352F37">
      <w:pPr>
        <w:pStyle w:val="Para"/>
      </w:pPr>
      <w:r>
        <w:t xml:space="preserve">Life insurance intermediation can take a number of different forms, with varying relationships with the life insurer, which may affect the nature and the extent of their AML/CFT responsibilities: </w:t>
      </w:r>
    </w:p>
    <w:p w14:paraId="6E4E2F5F" w14:textId="77777777" w:rsidR="00352F37" w:rsidRDefault="00352F37" w:rsidP="00352F37">
      <w:pPr>
        <w:pStyle w:val="BulletedList"/>
        <w:numPr>
          <w:ilvl w:val="0"/>
          <w:numId w:val="23"/>
        </w:numPr>
      </w:pPr>
      <w:r>
        <w:lastRenderedPageBreak/>
        <w:t xml:space="preserve">Intermediaries may sell products for and on behalf of a single life insurer and are sometimes referred to as “tied” or “captive” agents. Where intermediaries are tied to a life insurer, they are generally required to follow the life insurer’s AML/CFT policies and procedures. </w:t>
      </w:r>
    </w:p>
    <w:p w14:paraId="6E4E2F60" w14:textId="02A0365C" w:rsidR="00352F37" w:rsidRDefault="00352F37" w:rsidP="00352F37">
      <w:pPr>
        <w:pStyle w:val="BulletedList"/>
        <w:numPr>
          <w:ilvl w:val="0"/>
          <w:numId w:val="23"/>
        </w:numPr>
      </w:pPr>
      <w:r>
        <w:t>Where intermediaries act primarily on behalf of the customer, they are independent of the life insurer whose products they sell and are often referred to as “independent agents”</w:t>
      </w:r>
      <w:r>
        <w:rPr>
          <w:rStyle w:val="FootnoteReference"/>
        </w:rPr>
        <w:footnoteReference w:id="11"/>
      </w:r>
      <w:r>
        <w:t xml:space="preserve">. These intermediaries are able to select from a range of products across the market and as they are “financial institutions” per the FATF Glossary, they are subject to AML/CFT requirements. </w:t>
      </w:r>
    </w:p>
    <w:p w14:paraId="6E4E2F61" w14:textId="77777777" w:rsidR="00352F37" w:rsidRDefault="00352F37" w:rsidP="00352F37">
      <w:pPr>
        <w:pStyle w:val="BulletedList"/>
        <w:numPr>
          <w:ilvl w:val="0"/>
          <w:numId w:val="23"/>
        </w:numPr>
      </w:pPr>
      <w:proofErr w:type="spellStart"/>
      <w:r>
        <w:t>Bancassurance</w:t>
      </w:r>
      <w:proofErr w:type="spellEnd"/>
      <w:r>
        <w:t xml:space="preserve"> is an agreement between a bank and an insurer, under which the bank sells the insurer’s life insurance products to its clients. If the bank and the insurer belong to the same financial group or conglomerate, a group-wide AML/CFT programme should be in place, including policies and procedures for sharing information within the group for AML/CFT purposes.</w:t>
      </w:r>
      <w:r w:rsidRPr="00BB47A1">
        <w:rPr>
          <w:vertAlign w:val="superscript"/>
        </w:rPr>
        <w:footnoteReference w:id="12"/>
      </w:r>
      <w:r w:rsidRPr="00BB47A1">
        <w:rPr>
          <w:vertAlign w:val="superscript"/>
        </w:rPr>
        <w:t xml:space="preserve"> </w:t>
      </w:r>
    </w:p>
    <w:p w14:paraId="6E4E2F62" w14:textId="77777777" w:rsidR="00352F37" w:rsidRDefault="00352F37" w:rsidP="00352F37">
      <w:pPr>
        <w:pStyle w:val="BulletedList"/>
        <w:numPr>
          <w:ilvl w:val="0"/>
          <w:numId w:val="23"/>
        </w:numPr>
      </w:pPr>
      <w:r>
        <w:t xml:space="preserve">There are also “trade specific agents” whose core business is not life insurance and who typically may sell only one or a limited number of types of life insurance products as ancillary to their core business activities. For example a mortgage provider may offer its clients term life or critical illness insurance as an optional add-on to the mortgage agreement. </w:t>
      </w:r>
    </w:p>
    <w:p w14:paraId="6E4E2F63" w14:textId="01215ACA" w:rsidR="00352F37" w:rsidRDefault="00352F37" w:rsidP="00352F37">
      <w:pPr>
        <w:pStyle w:val="Para"/>
      </w:pPr>
      <w:r>
        <w:t xml:space="preserve">When identifying the risks associated with delivery channels and the management of the product, the life insurer should also take into account the reliance on any third-party; and whether the arrangement </w:t>
      </w:r>
      <w:r w:rsidR="0050277A">
        <w:t xml:space="preserve">is under a </w:t>
      </w:r>
      <w:r>
        <w:t>third party reliance or outsourcing model discussed below.</w:t>
      </w:r>
    </w:p>
    <w:p w14:paraId="6E4E2F64" w14:textId="77777777" w:rsidR="00352F37" w:rsidRDefault="00352F37" w:rsidP="00352F37">
      <w:pPr>
        <w:pStyle w:val="Para"/>
      </w:pPr>
      <w:r>
        <w:rPr>
          <w:i/>
        </w:rPr>
        <w:t>T</w:t>
      </w:r>
      <w:r w:rsidRPr="00774FE3">
        <w:rPr>
          <w:i/>
        </w:rPr>
        <w:t>hird-party reliance</w:t>
      </w:r>
      <w:r>
        <w:t xml:space="preserve"> - Where local legislation permits life insurers to rely on the identification and verification work completed by life insurance intermediaries, life insurers must comply with FATF R.17.  Life insurers should satisfy themselves that the intermediary is a financial institution regulated, and monitored or supervised for CDD and record keeping requirements. The life insurer </w:t>
      </w:r>
      <w:r w:rsidRPr="0093280A">
        <w:t xml:space="preserve">should immediately obtain the necessary CDD information, and also </w:t>
      </w:r>
      <w:r>
        <w:t xml:space="preserve">take adequate steps to satisfy </w:t>
      </w:r>
      <w:proofErr w:type="gramStart"/>
      <w:r>
        <w:t>itself</w:t>
      </w:r>
      <w:proofErr w:type="gramEnd"/>
      <w:r>
        <w:t xml:space="preserve"> that copies of identification data and other relevant documentation relating to CDD requirements will be made available to the life insurer by the intermediary upon request and without delay. As a best practice, it is recommended that life insurers receive a copy of the CDD record(s), or have access to the database where the information is held, in order to facilitate ongoing monitoring of the business relationship and if applicable, the filing of suspicious transactions reports and for a complete assessment record in case of a change of intermediary servicing the policy. </w:t>
      </w:r>
      <w:r w:rsidRPr="00774FE3">
        <w:rPr>
          <w:iCs/>
        </w:rPr>
        <w:t xml:space="preserve">Ultimate responsibility for customer due diligence remains with the </w:t>
      </w:r>
      <w:r>
        <w:rPr>
          <w:iCs/>
        </w:rPr>
        <w:t xml:space="preserve">life </w:t>
      </w:r>
      <w:r w:rsidRPr="00774FE3">
        <w:rPr>
          <w:iCs/>
        </w:rPr>
        <w:t>insurer even when relying on third-parties.</w:t>
      </w:r>
    </w:p>
    <w:p w14:paraId="6E4E2F65" w14:textId="6A61AB58" w:rsidR="00352F37" w:rsidRDefault="00352F37" w:rsidP="00352F37">
      <w:pPr>
        <w:pStyle w:val="Para"/>
      </w:pPr>
      <w:r>
        <w:rPr>
          <w:i/>
        </w:rPr>
        <w:t>O</w:t>
      </w:r>
      <w:r w:rsidRPr="00774FE3">
        <w:rPr>
          <w:i/>
        </w:rPr>
        <w:t>utsourcing</w:t>
      </w:r>
      <w:r>
        <w:t xml:space="preserve"> - When life insurers outsource a part of their AML/CFT function, including the distribution of the products, to a third party which is not regulated, supervised or monitored for AML/CFT, they should include these third parties in their </w:t>
      </w:r>
      <w:r w:rsidR="0050277A">
        <w:t xml:space="preserve">own </w:t>
      </w:r>
      <w:r>
        <w:t xml:space="preserve">AML/CFT </w:t>
      </w:r>
      <w:r w:rsidRPr="00FC540A">
        <w:t xml:space="preserve">internal control processes, and monitor them for compliance with their </w:t>
      </w:r>
      <w:r w:rsidRPr="00FC540A">
        <w:lastRenderedPageBreak/>
        <w:t xml:space="preserve">AML/CFT programmes. Life insurers retain full responsibility for AML/CFT controls in </w:t>
      </w:r>
      <w:r>
        <w:t xml:space="preserve">such </w:t>
      </w:r>
      <w:r w:rsidRPr="00FC540A">
        <w:t>an outsourcing arrangement.</w:t>
      </w:r>
    </w:p>
    <w:p w14:paraId="6E4E2F66" w14:textId="77777777" w:rsidR="00352F37" w:rsidRDefault="00352F37" w:rsidP="00352F37">
      <w:pPr>
        <w:tabs>
          <w:tab w:val="clear" w:pos="850"/>
          <w:tab w:val="clear" w:pos="1191"/>
          <w:tab w:val="clear" w:pos="1531"/>
        </w:tabs>
        <w:jc w:val="left"/>
        <w:rPr>
          <w:rFonts w:eastAsia="SimSun"/>
        </w:rPr>
      </w:pPr>
    </w:p>
    <w:p w14:paraId="6E4E2F67" w14:textId="77777777" w:rsidR="00352F37" w:rsidRDefault="00352F37" w:rsidP="00352F37">
      <w:pPr>
        <w:pStyle w:val="Heading6"/>
        <w:numPr>
          <w:ilvl w:val="5"/>
          <w:numId w:val="13"/>
        </w:numPr>
      </w:pPr>
      <w:bookmarkStart w:id="18" w:name="_Toc509840544"/>
      <w:r>
        <w:t>SECTION I – THE FATF’S RISK-BASED APPROACH (RBA) TO AML/CFT</w:t>
      </w:r>
      <w:bookmarkEnd w:id="18"/>
      <w:r>
        <w:t xml:space="preserve"> </w:t>
      </w:r>
    </w:p>
    <w:p w14:paraId="6E4E2F68" w14:textId="77777777" w:rsidR="00352F37" w:rsidRDefault="00352F37" w:rsidP="00352F37">
      <w:pPr>
        <w:pStyle w:val="Heading1"/>
        <w:numPr>
          <w:ilvl w:val="0"/>
          <w:numId w:val="13"/>
        </w:numPr>
      </w:pPr>
      <w:bookmarkStart w:id="19" w:name="_Toc509840545"/>
      <w:bookmarkStart w:id="20" w:name="_Toc517968027"/>
      <w:r>
        <w:t>WHAT IS THE RBA</w:t>
      </w:r>
      <w:bookmarkEnd w:id="19"/>
      <w:r>
        <w:t>?</w:t>
      </w:r>
      <w:bookmarkEnd w:id="20"/>
    </w:p>
    <w:p w14:paraId="6E4E2F69" w14:textId="77777777" w:rsidR="00352F37" w:rsidRDefault="00352F37" w:rsidP="00352F37">
      <w:pPr>
        <w:pStyle w:val="Para"/>
      </w:pPr>
      <w:r>
        <w:t>An RBA to AML/CFT means that countries, competent authorities and financial institutions,</w:t>
      </w:r>
      <w:r>
        <w:rPr>
          <w:rStyle w:val="FootnoteReference"/>
        </w:rPr>
        <w:footnoteReference w:id="13"/>
      </w:r>
      <w:r>
        <w:t xml:space="preserve"> are expected to identify, assess and understand the ML/TF risks to which they are exposed and take AML/CFT measures commensurate with those risks in order to mitigate them effectively.</w:t>
      </w:r>
    </w:p>
    <w:p w14:paraId="6E4E2F6A" w14:textId="77777777" w:rsidR="00352F37" w:rsidRDefault="00352F37" w:rsidP="00352F37">
      <w:pPr>
        <w:pStyle w:val="Para"/>
      </w:pPr>
      <w:r>
        <w:t>When assessing ML/TF risk, countries, competent authorities, and financial institutions should analyse and seek to understand how the ML/TF risks they identify affect them; the risk assessment therefore provides the basis for the risk-sensitive application of AML/CFT measures.</w:t>
      </w:r>
      <w:r>
        <w:rPr>
          <w:rStyle w:val="FootnoteReference"/>
        </w:rPr>
        <w:footnoteReference w:id="14"/>
      </w:r>
      <w:r>
        <w:t xml:space="preserve"> </w:t>
      </w:r>
    </w:p>
    <w:p w14:paraId="6E4E2F6B" w14:textId="693EDBB5" w:rsidR="00352F37" w:rsidRDefault="0050277A" w:rsidP="00352F37">
      <w:pPr>
        <w:pStyle w:val="Para"/>
      </w:pPr>
      <w:r>
        <w:t xml:space="preserve">The RBA process should be dynamic, with risk assessments and mitigation measures being refreshed on an on-going basis. </w:t>
      </w:r>
      <w:r w:rsidR="00352F37">
        <w:t xml:space="preserve">It is recognised that there may be occasions where an institution has taken all reasonable measures to identify and mitigate ML/FT risks, but its products are used for ML or TF purposes. </w:t>
      </w:r>
    </w:p>
    <w:p w14:paraId="6E4E2F6C" w14:textId="77777777" w:rsidR="00352F37" w:rsidRDefault="00352F37" w:rsidP="00352F37">
      <w:pPr>
        <w:pStyle w:val="Heading1"/>
        <w:numPr>
          <w:ilvl w:val="0"/>
          <w:numId w:val="13"/>
        </w:numPr>
      </w:pPr>
      <w:bookmarkStart w:id="21" w:name="_Toc509840546"/>
      <w:bookmarkStart w:id="22" w:name="_Toc517968028"/>
      <w:r>
        <w:t>THE RATIONALE FOR A NEW APPROACH</w:t>
      </w:r>
      <w:bookmarkEnd w:id="21"/>
      <w:bookmarkEnd w:id="22"/>
    </w:p>
    <w:p w14:paraId="6E4E2F6D" w14:textId="77777777" w:rsidR="00352F37" w:rsidRDefault="00352F37" w:rsidP="00352F37">
      <w:pPr>
        <w:pStyle w:val="Para"/>
      </w:pPr>
      <w:r>
        <w:t>In 2012, the FATF updated its Recommendations to strengthen global safeguards and to further protect the integrity of the financial system by providing governments with stronger tools to take action against financial crime.</w:t>
      </w:r>
    </w:p>
    <w:p w14:paraId="6E4E2F6E" w14:textId="77777777" w:rsidR="00352F37" w:rsidRDefault="00352F37" w:rsidP="00352F37">
      <w:pPr>
        <w:pStyle w:val="Para"/>
      </w:pPr>
      <w:r>
        <w:t xml:space="preserve">One of the most important changes was the increased emphasis on the RBA to AML/CFT, especially in relation to preventive measures and supervision. Whereas the 2003 Recommendations provided for the application of a RBA in some areas, the 2012 Recommendations consider the RBA to be an “essential foundation” of a country’s </w:t>
      </w:r>
      <w:r>
        <w:lastRenderedPageBreak/>
        <w:t>AML/CFT framework.</w:t>
      </w:r>
      <w:r>
        <w:rPr>
          <w:rStyle w:val="FootnoteReference"/>
        </w:rPr>
        <w:footnoteReference w:id="15"/>
      </w:r>
      <w:r>
        <w:t xml:space="preserve">  This is an over-arching requirement applicable to all relevant FATF Recommendations.</w:t>
      </w:r>
      <w:r>
        <w:rPr>
          <w:rStyle w:val="FootnoteReference"/>
        </w:rPr>
        <w:footnoteReference w:id="16"/>
      </w:r>
      <w:r>
        <w:t xml:space="preserve"> </w:t>
      </w:r>
    </w:p>
    <w:p w14:paraId="6E4E2F6F" w14:textId="77777777" w:rsidR="00352F37" w:rsidRDefault="00352F37" w:rsidP="00352F37">
      <w:pPr>
        <w:pStyle w:val="Para"/>
      </w:pPr>
      <w:r>
        <w:t>According to the Introduction to the 40 Recommendations, the RBA ‘allows countries, within the framework of the FATF requirements, to adopt a more flexible set of measures in order to target their resources more effectively and apply preventive measures that are commensurate to the nature of risks, in order to focus their efforts in the most effective way’.</w:t>
      </w:r>
    </w:p>
    <w:p w14:paraId="6E4E2F70" w14:textId="77777777" w:rsidR="00352F37" w:rsidRDefault="00352F37" w:rsidP="00352F37">
      <w:pPr>
        <w:pStyle w:val="Para"/>
      </w:pPr>
      <w:r>
        <w:t>The application of a RBA is therefore not optional, but a prerequisite for the effective implementation of the FATF Standards.</w:t>
      </w:r>
      <w:r>
        <w:rPr>
          <w:rStyle w:val="FootnoteReference"/>
        </w:rPr>
        <w:footnoteReference w:id="17"/>
      </w:r>
    </w:p>
    <w:p w14:paraId="6E4E2F71" w14:textId="77777777" w:rsidR="00352F37" w:rsidRDefault="00352F37" w:rsidP="00352F37">
      <w:pPr>
        <w:pStyle w:val="Heading1"/>
        <w:numPr>
          <w:ilvl w:val="0"/>
          <w:numId w:val="13"/>
        </w:numPr>
      </w:pPr>
      <w:bookmarkStart w:id="23" w:name="_Toc509840547"/>
      <w:bookmarkStart w:id="24" w:name="_Toc517968029"/>
      <w:r>
        <w:t>APPLICATION OF THE RISK-BASED APPROACH</w:t>
      </w:r>
      <w:bookmarkEnd w:id="23"/>
      <w:bookmarkEnd w:id="24"/>
    </w:p>
    <w:p w14:paraId="6E4E2F72" w14:textId="77777777" w:rsidR="00352F37" w:rsidRDefault="00352F37" w:rsidP="00352F37">
      <w:pPr>
        <w:pStyle w:val="Para"/>
      </w:pPr>
      <w:r>
        <w:t>R. 1 sets out the scope of the application of the RBA. It applies in relation to:</w:t>
      </w:r>
    </w:p>
    <w:p w14:paraId="6E4E2F73" w14:textId="77777777" w:rsidR="00352F37" w:rsidRDefault="00352F37" w:rsidP="00352F37">
      <w:pPr>
        <w:pStyle w:val="BulletedList"/>
        <w:numPr>
          <w:ilvl w:val="0"/>
          <w:numId w:val="23"/>
        </w:numPr>
      </w:pPr>
      <w:r>
        <w:t>Who and what should be subject to a country’s AML/CFT regime: in addition to the sectors and activities included in the scope of the FATF Recommendations,</w:t>
      </w:r>
      <w:r>
        <w:rPr>
          <w:rStyle w:val="FootnoteReference"/>
        </w:rPr>
        <w:footnoteReference w:id="18"/>
      </w:r>
      <w:r>
        <w:t xml:space="preserve"> countries should extend their regime to additional institutions, sectors or activities if they pose a higher risk of ML/TF. </w:t>
      </w:r>
    </w:p>
    <w:p w14:paraId="6E4E2F74" w14:textId="77777777" w:rsidR="00352F37" w:rsidRDefault="00352F37" w:rsidP="00352F37">
      <w:pPr>
        <w:pStyle w:val="Para0"/>
        <w:ind w:left="1418"/>
      </w:pPr>
      <w:r>
        <w:t xml:space="preserve">Countries could also consider exempting certain institutions, sectors or activities from some AML/CFT obligations where specified conditions are met, such as an </w:t>
      </w:r>
      <w:r>
        <w:lastRenderedPageBreak/>
        <w:t>assessment that the ML/TF risks associated with those sectors or activities are proven to be low.</w:t>
      </w:r>
      <w:r>
        <w:rPr>
          <w:rStyle w:val="FootnoteReference"/>
        </w:rPr>
        <w:footnoteReference w:id="19"/>
      </w:r>
      <w:r>
        <w:t xml:space="preserve"> </w:t>
      </w:r>
    </w:p>
    <w:p w14:paraId="6E4E2F75" w14:textId="77777777" w:rsidR="00352F37" w:rsidRDefault="00352F37" w:rsidP="00352F37">
      <w:pPr>
        <w:pStyle w:val="BulletedList"/>
        <w:numPr>
          <w:ilvl w:val="0"/>
          <w:numId w:val="23"/>
        </w:numPr>
        <w:spacing w:before="120"/>
      </w:pPr>
      <w:r>
        <w:t>How those subject to the AML/CFT regime should be supervised for compliance with this regime: AML/CFT supervisors should consider life insurers’ and intermediaries’ own risk assessment and mitigation measures, and acknowledge the degree of discretion allowed under the national RBA. Supervisors must themselves adopt a RBA to AML/CFT supervision (INR. 26); and</w:t>
      </w:r>
    </w:p>
    <w:p w14:paraId="6E4E2F76" w14:textId="77777777" w:rsidR="00352F37" w:rsidRDefault="00352F37" w:rsidP="00352F37">
      <w:pPr>
        <w:pStyle w:val="BulletedList"/>
        <w:numPr>
          <w:ilvl w:val="0"/>
          <w:numId w:val="23"/>
        </w:numPr>
      </w:pPr>
      <w:r>
        <w:t>How those subject to the AML/CFT regime should comply: life insurers and intermediaries</w:t>
      </w:r>
      <w:r w:rsidRPr="00B05D22">
        <w:t xml:space="preserve"> </w:t>
      </w:r>
      <w:r>
        <w:t xml:space="preserve"> are obliged</w:t>
      </w:r>
      <w:r w:rsidRPr="00B05D22">
        <w:t xml:space="preserve"> to assess and understand the ML/TF risks to which they are exposed </w:t>
      </w:r>
      <w:r>
        <w:t>.Where the ML/TF risk associated with a situation is higher, enhanced mitigation measures should be taken. This means that the range, degree, frequency or intensity of controls conducted will be stronger. Conversely, where the ML/TF risk is lower, standard AML/CFT measures may be simplified, which means that each of the required measures must be applied, but the degree, and frequency or the intensity of the controls conducted will be lower.</w:t>
      </w:r>
      <w:r>
        <w:rPr>
          <w:rStyle w:val="FootnoteReference"/>
        </w:rPr>
        <w:footnoteReference w:id="20"/>
      </w:r>
      <w:r>
        <w:t xml:space="preserve"> </w:t>
      </w:r>
    </w:p>
    <w:p w14:paraId="6E4E2F77" w14:textId="77777777" w:rsidR="00352F37" w:rsidRDefault="00352F37" w:rsidP="00352F37">
      <w:pPr>
        <w:pStyle w:val="Heading1"/>
        <w:numPr>
          <w:ilvl w:val="0"/>
          <w:numId w:val="13"/>
        </w:numPr>
      </w:pPr>
      <w:bookmarkStart w:id="25" w:name="_Toc509840548"/>
      <w:bookmarkStart w:id="26" w:name="_Toc517968030"/>
      <w:r>
        <w:t>CHALLENGES AND METHODOLOGY FOR AN EFFECTIVE RBA</w:t>
      </w:r>
      <w:bookmarkEnd w:id="25"/>
      <w:bookmarkEnd w:id="26"/>
    </w:p>
    <w:p w14:paraId="6E4E2F78" w14:textId="77777777" w:rsidR="00352F37" w:rsidRDefault="00352F37" w:rsidP="00352F37">
      <w:pPr>
        <w:pStyle w:val="Para"/>
      </w:pPr>
      <w:r>
        <w:t>Implementing a RBA can present a number of challenges. In implementing an effective RBA, countries and competent authorities should therefore consider the following steps.</w:t>
      </w:r>
    </w:p>
    <w:p w14:paraId="6E4E2F79" w14:textId="77777777" w:rsidR="00352F37" w:rsidRDefault="00352F37" w:rsidP="00352F37">
      <w:pPr>
        <w:pStyle w:val="Heading2"/>
        <w:numPr>
          <w:ilvl w:val="1"/>
          <w:numId w:val="13"/>
        </w:numPr>
      </w:pPr>
      <w:bookmarkStart w:id="27" w:name="_Toc509840549"/>
      <w:bookmarkStart w:id="28" w:name="_Toc517968031"/>
      <w:r>
        <w:t>Allocating responsibility under a RBA</w:t>
      </w:r>
      <w:bookmarkEnd w:id="27"/>
      <w:bookmarkEnd w:id="28"/>
    </w:p>
    <w:p w14:paraId="6E4E2F7A" w14:textId="77777777" w:rsidR="00352F37" w:rsidRDefault="00352F37" w:rsidP="00352F37">
      <w:pPr>
        <w:pStyle w:val="Para"/>
      </w:pPr>
      <w:r>
        <w:t xml:space="preserve">An effective risk-based regime builds on, and reflects, a country’s legal and regulatory approach, the nature, diversity and maturity of its financial sector, and its overall risk profile. </w:t>
      </w:r>
    </w:p>
    <w:p w14:paraId="6E4E2F7B" w14:textId="77777777" w:rsidR="00352F37" w:rsidRDefault="00352F37" w:rsidP="00352F37">
      <w:pPr>
        <w:pStyle w:val="Para"/>
      </w:pPr>
      <w:r>
        <w:t xml:space="preserve">When deciding the extent to which life insurers and intermediaries are able to decide how to mitigate risk, countries should consider, inter alia, the mitigating measures already in place </w:t>
      </w:r>
      <w:r w:rsidRPr="00B041DF">
        <w:t>(e.g.</w:t>
      </w:r>
      <w:r>
        <w:t>,</w:t>
      </w:r>
      <w:r w:rsidRPr="00B041DF">
        <w:t xml:space="preserve"> </w:t>
      </w:r>
      <w:r>
        <w:t xml:space="preserve">laws </w:t>
      </w:r>
      <w:r w:rsidRPr="00B041DF">
        <w:t>prohibiting anonymous life</w:t>
      </w:r>
      <w:r>
        <w:t xml:space="preserve"> insurance</w:t>
      </w:r>
      <w:r w:rsidRPr="00B041DF">
        <w:t xml:space="preserve"> products and/or cash payments in relation to any life insurance products),</w:t>
      </w:r>
      <w:r>
        <w:t xml:space="preserve"> their life insurance sector’s ability to effectively identify and manage ML/TF risks as well as their supervisors’ expertise and resources.</w:t>
      </w:r>
    </w:p>
    <w:p w14:paraId="6E4E2F7C" w14:textId="77777777" w:rsidR="00352F37" w:rsidRDefault="00352F37" w:rsidP="00352F37">
      <w:pPr>
        <w:pStyle w:val="Para"/>
      </w:pPr>
      <w:r>
        <w:t xml:space="preserve">Countries may also take into account evidence from competent authorities regarding the level of compliance in the life insurance sector, and the sector’s approach to dealing with ML/TF risk. Countries whose financial services sectors or whose legal, regulatory and supervisory frameworks are still developing, may determine that life insurers and intermediaries are not yet sufficiently equipped to effectively identify and manage ML/TF risk and any flexibility allowed under the risk-based approach should therefore be limited. In such cases, a more prescriptive implementation of the AML/CFT </w:t>
      </w:r>
      <w:r>
        <w:lastRenderedPageBreak/>
        <w:t xml:space="preserve">requirements may be appropriate until the </w:t>
      </w:r>
      <w:proofErr w:type="gramStart"/>
      <w:r>
        <w:t>sector’s understanding</w:t>
      </w:r>
      <w:proofErr w:type="gramEnd"/>
      <w:r>
        <w:t xml:space="preserve"> and experience is strengthened.</w:t>
      </w:r>
      <w:r>
        <w:rPr>
          <w:rStyle w:val="FootnoteReference"/>
        </w:rPr>
        <w:footnoteReference w:id="21"/>
      </w:r>
    </w:p>
    <w:p w14:paraId="6E4E2F7D" w14:textId="77777777" w:rsidR="00352F37" w:rsidRDefault="00352F37" w:rsidP="00352F37">
      <w:pPr>
        <w:pStyle w:val="Para"/>
      </w:pPr>
      <w:r>
        <w:t>Institutions should not be exempted from AML/CFT supervision even where their capacity (ability and expertise) and compliance are good. However, the RBA should allow competent authorities to direct more supervisory resource to higher risk institutions.</w:t>
      </w:r>
      <w:r>
        <w:rPr>
          <w:rStyle w:val="FootnoteReference"/>
        </w:rPr>
        <w:footnoteReference w:id="22"/>
      </w:r>
      <w:r>
        <w:t xml:space="preserve"> </w:t>
      </w:r>
    </w:p>
    <w:p w14:paraId="6E4E2F7E" w14:textId="77777777" w:rsidR="00352F37" w:rsidRPr="003434ED" w:rsidRDefault="00352F37" w:rsidP="00352F37">
      <w:pPr>
        <w:pStyle w:val="Heading3"/>
        <w:numPr>
          <w:ilvl w:val="2"/>
          <w:numId w:val="13"/>
        </w:numPr>
      </w:pPr>
      <w:bookmarkStart w:id="29" w:name="_Toc509840550"/>
      <w:bookmarkStart w:id="30" w:name="_Toc517968032"/>
      <w:r w:rsidRPr="003434ED">
        <w:rPr>
          <w:rStyle w:val="Heading3Char"/>
          <w:b/>
          <w:bCs/>
          <w:i/>
          <w:iCs/>
        </w:rPr>
        <w:t>Identifying</w:t>
      </w:r>
      <w:r w:rsidRPr="003434ED">
        <w:t xml:space="preserve"> ML/TF risk</w:t>
      </w:r>
      <w:bookmarkEnd w:id="29"/>
      <w:bookmarkEnd w:id="30"/>
    </w:p>
    <w:p w14:paraId="6E4E2F7F" w14:textId="2B7FAD4F" w:rsidR="00352F37" w:rsidRDefault="00352F37" w:rsidP="00352F37">
      <w:pPr>
        <w:pStyle w:val="Para"/>
      </w:pPr>
      <w:r>
        <w:t xml:space="preserve">Life </w:t>
      </w:r>
      <w:r w:rsidRPr="00601A70">
        <w:t xml:space="preserve">insurers and intermediaries may be granted flexibility in deciding on the most effective way to identify ML/TF risk. Life insurers and intermediaries </w:t>
      </w:r>
      <w:r>
        <w:t>should</w:t>
      </w:r>
      <w:r w:rsidRPr="00601A70">
        <w:t xml:space="preserve"> take into account the</w:t>
      </w:r>
      <w:r>
        <w:t xml:space="preserve"> supra (if any) and</w:t>
      </w:r>
      <w:r w:rsidRPr="00601A70">
        <w:t xml:space="preserve"> national </w:t>
      </w:r>
      <w:r>
        <w:t>legal and regulatory framework,</w:t>
      </w:r>
      <w:r w:rsidRPr="00601A70">
        <w:t xml:space="preserve"> any areas of prescribed significant risk and any mitigation measures defined at the legal or regulatory level. </w:t>
      </w:r>
      <w:r>
        <w:t xml:space="preserve">If a national risk assessment is available, this should be taken into account. </w:t>
      </w:r>
    </w:p>
    <w:p w14:paraId="6E4E2F80" w14:textId="5C288185" w:rsidR="00352F37" w:rsidRDefault="00352F37" w:rsidP="00352F37">
      <w:pPr>
        <w:pStyle w:val="Para"/>
      </w:pPr>
      <w:r>
        <w:t xml:space="preserve">Competent authorities and supervisors should consider issuing guidance to life insurers and intermediaries on how they </w:t>
      </w:r>
      <w:r w:rsidR="0050277A">
        <w:t xml:space="preserve">are </w:t>
      </w:r>
      <w:r>
        <w:t>expect</w:t>
      </w:r>
      <w:r w:rsidR="0050277A">
        <w:t>ed</w:t>
      </w:r>
      <w:r>
        <w:t xml:space="preserve"> to meet their legal and regulatory AML/CFT obligations. Ongoing and effective communication between competent authorities and life insurers and intermediaries is an essential prerequisite for the successful implementation of a RBA.</w:t>
      </w:r>
    </w:p>
    <w:p w14:paraId="6E4E2F81" w14:textId="77777777" w:rsidR="00352F37" w:rsidRDefault="00352F37" w:rsidP="00352F37">
      <w:pPr>
        <w:pStyle w:val="Para"/>
      </w:pPr>
      <w:r>
        <w:t>Access to accurate, timely and objective information about ML/TF risks is also a prerequisite for an effective RBA. INR 1.3 requires countries to have mechanisms to provide appropriate information on the results of the risk assessments to all relevant competent authorities, financial institutions and other interested parties. Information sharing plays a vital role in allowing financial institutions and supervisory and law enforcement authorities to better deploy resources on a risk based approach, and to develop innovative techniques to combat ML/TF.</w:t>
      </w:r>
      <w:r>
        <w:rPr>
          <w:rStyle w:val="FootnoteReference"/>
        </w:rPr>
        <w:footnoteReference w:id="23"/>
      </w:r>
      <w:r>
        <w:t xml:space="preserve"> Enabling greater information sharing is a key element of collaboration whether it involves sharing across borders, between entities of the same financial group, between different financial groups or between the private and public sector. This is relevant also in a life insurance context, because insurers can be part of financial groups, involving different types of financial institutions, at the domestic and cross-border level. Where information is neither readily available nor adequate, it will be difficult for life insurers and intermediaries to correctly identify (i.e., find and list) ML/TF risk and therefore they may fail to assess and mitigate it appropriately.</w:t>
      </w:r>
    </w:p>
    <w:p w14:paraId="6E4E2F82" w14:textId="77777777" w:rsidR="00352F37" w:rsidRDefault="00352F37" w:rsidP="00352F37">
      <w:pPr>
        <w:pStyle w:val="Heading3"/>
        <w:numPr>
          <w:ilvl w:val="2"/>
          <w:numId w:val="13"/>
        </w:numPr>
      </w:pPr>
      <w:bookmarkStart w:id="31" w:name="_Toc509840551"/>
      <w:bookmarkStart w:id="32" w:name="_Toc517968033"/>
      <w:r>
        <w:t>Assessing ML/TF risk</w:t>
      </w:r>
      <w:bookmarkEnd w:id="31"/>
      <w:bookmarkEnd w:id="32"/>
    </w:p>
    <w:p w14:paraId="6E4E2F83" w14:textId="77777777" w:rsidR="00352F37" w:rsidRDefault="00352F37" w:rsidP="00352F37">
      <w:pPr>
        <w:pStyle w:val="Para"/>
      </w:pPr>
      <w:r>
        <w:t xml:space="preserve">Assessing ML/TF risk means that countries, competent authorities, life insurers and intermediaries must determine how the identified ML/TF threats will affect them. They should analyse the information obtained to understand the likelihood of these risks occurring as well as the impact that the risks would pose on the individual life insurers </w:t>
      </w:r>
      <w:r>
        <w:lastRenderedPageBreak/>
        <w:t xml:space="preserve">and intermediaries, the life insurance sector and related financial institutions, and possibly on the national economy. </w:t>
      </w:r>
      <w:r w:rsidRPr="003D646E">
        <w:t>Risks identified through this process are often kno</w:t>
      </w:r>
      <w:r>
        <w:t>wn as inherent risks, and risks</w:t>
      </w:r>
      <w:r w:rsidRPr="003D646E">
        <w:t xml:space="preserve"> which remain after the ris</w:t>
      </w:r>
      <w:r>
        <w:t xml:space="preserve">k mitigation process </w:t>
      </w:r>
      <w:r w:rsidRPr="003D646E">
        <w:t>are known as residual risks.</w:t>
      </w:r>
    </w:p>
    <w:p w14:paraId="6E4E2F84" w14:textId="77777777" w:rsidR="00352F37" w:rsidRDefault="00352F37" w:rsidP="00352F37">
      <w:pPr>
        <w:pStyle w:val="Para"/>
      </w:pPr>
      <w:r>
        <w:t xml:space="preserve">As a result of a risk assessment, ML/TF risks are often classified as low, medium and high, with possible combinations between the different categories (medium-high; low-medium, etc.). </w:t>
      </w:r>
      <w:r w:rsidRPr="00D208E1">
        <w:t xml:space="preserve">The same risk may be regarded as high in one jurisdiction while in another jurisdiction it may be regarded as </w:t>
      </w:r>
      <w:r>
        <w:t>lower</w:t>
      </w:r>
      <w:r w:rsidRPr="00D208E1">
        <w:t xml:space="preserve"> ri</w:t>
      </w:r>
      <w:r>
        <w:t>s</w:t>
      </w:r>
      <w:r w:rsidRPr="00D208E1">
        <w:t xml:space="preserve">k depending on the circumstances prevailing in the jurisdiction. </w:t>
      </w:r>
      <w:r>
        <w:t>Such a classification is meant to assist understanding and prioritizing ML/TF risks. Assessing ML/TF risk therefore goes beyond the mere collection of quantitative and qualitative information: it forms the basis for effective ML/TF risk mitigation and should be kept up-to-date to remain relevant.</w:t>
      </w:r>
    </w:p>
    <w:p w14:paraId="6E4E2F85" w14:textId="77777777" w:rsidR="00352F37" w:rsidRDefault="00352F37" w:rsidP="00352F37">
      <w:pPr>
        <w:pStyle w:val="Para"/>
      </w:pPr>
      <w:r>
        <w:t xml:space="preserve">Assessing and understanding risks implies that competent authorities and life insurers and intermediaries should have skilled and trusted personnel, recruited through fit and proper tests, where appropriate. This also requires personnel to </w:t>
      </w:r>
      <w:r>
        <w:rPr>
          <w:lang w:val="en-US"/>
        </w:rPr>
        <w:t xml:space="preserve">have and maintain technical competence and expertise </w:t>
      </w:r>
      <w:r w:rsidRPr="00FB7393">
        <w:rPr>
          <w:lang w:val="en-US"/>
        </w:rPr>
        <w:t xml:space="preserve">commensurate with the complexity of the </w:t>
      </w:r>
      <w:r>
        <w:rPr>
          <w:lang w:val="en-US"/>
        </w:rPr>
        <w:t xml:space="preserve">life </w:t>
      </w:r>
      <w:r w:rsidRPr="00FB7393">
        <w:rPr>
          <w:lang w:val="en-US"/>
        </w:rPr>
        <w:t>insurers</w:t>
      </w:r>
      <w:r>
        <w:rPr>
          <w:lang w:val="en-US"/>
        </w:rPr>
        <w:t xml:space="preserve"> and intermediaries’ products and operations.</w:t>
      </w:r>
    </w:p>
    <w:p w14:paraId="6E4E2F86" w14:textId="77777777" w:rsidR="00352F37" w:rsidRDefault="00352F37" w:rsidP="00352F37">
      <w:pPr>
        <w:pStyle w:val="Heading3"/>
        <w:numPr>
          <w:ilvl w:val="2"/>
          <w:numId w:val="13"/>
        </w:numPr>
      </w:pPr>
      <w:bookmarkStart w:id="33" w:name="_Toc509840552"/>
      <w:bookmarkStart w:id="34" w:name="_Toc517968034"/>
      <w:r>
        <w:t>Mitigating ML/TF risk</w:t>
      </w:r>
      <w:bookmarkEnd w:id="33"/>
      <w:bookmarkEnd w:id="34"/>
    </w:p>
    <w:p w14:paraId="6E4E2F87" w14:textId="18FDB2A5" w:rsidR="00352F37" w:rsidRDefault="00352F37" w:rsidP="00352F37">
      <w:pPr>
        <w:pStyle w:val="Para"/>
      </w:pPr>
      <w:r>
        <w:t>The FATF Recommendations require that, when applying a RBA, life insurers and intermediaries, countries and competent authorities decide on the most appropriate and effective way to mitigate the ML/TF risk they have identified.  They should take enhanced measures to mitigate situations in which the ML/TF risk is higher; and, correspondingly, in lower risk situations, exemptions or simplified measures may be applied</w:t>
      </w:r>
      <w:r>
        <w:rPr>
          <w:rStyle w:val="FootnoteReference"/>
        </w:rPr>
        <w:footnoteReference w:id="24"/>
      </w:r>
      <w:r>
        <w:t>:</w:t>
      </w:r>
    </w:p>
    <w:p w14:paraId="6E4E2F88" w14:textId="6E81AC79" w:rsidR="00352F37" w:rsidRDefault="00352F37" w:rsidP="00352F37">
      <w:pPr>
        <w:pStyle w:val="BulletedList"/>
        <w:numPr>
          <w:ilvl w:val="0"/>
          <w:numId w:val="23"/>
        </w:numPr>
      </w:pPr>
      <w:r>
        <w:t>Countries and life insurers and intermediaries considering applying simplified measures should conduct an assessment of the risks connected to the category of customers or products targeted and establish the lower level of the risks involved, and define the extent and the intensity of the required AML/CFT measures. Specific FATF Recommendations set out in more detail how this general principle applies to particular requirements.</w:t>
      </w:r>
    </w:p>
    <w:p w14:paraId="6E4E2F89" w14:textId="77777777" w:rsidR="00352F37" w:rsidRDefault="00352F37" w:rsidP="00352F37">
      <w:pPr>
        <w:pStyle w:val="BulletedList"/>
        <w:numPr>
          <w:ilvl w:val="0"/>
          <w:numId w:val="23"/>
        </w:numPr>
      </w:pPr>
      <w:r w:rsidRPr="00843F17">
        <w:t>Where ML/TF risks are higher, life insurers and intermediaries should always apply enhanced due diligence</w:t>
      </w:r>
      <w:r>
        <w:t xml:space="preserve"> measures commensurate with the risks posed</w:t>
      </w:r>
      <w:r w:rsidRPr="00843F17">
        <w:t>, although national law or regulation might not prescribe exactly how these higher risks are to be mitigated (e.g., varying the degree of enhanced ongoing monitoring).</w:t>
      </w:r>
    </w:p>
    <w:p w14:paraId="6E4E2F8A" w14:textId="77777777" w:rsidR="00352F37" w:rsidRDefault="00352F37" w:rsidP="00352F37">
      <w:pPr>
        <w:pStyle w:val="Heading3"/>
        <w:numPr>
          <w:ilvl w:val="2"/>
          <w:numId w:val="13"/>
        </w:numPr>
      </w:pPr>
      <w:bookmarkStart w:id="35" w:name="_Toc509840553"/>
      <w:bookmarkStart w:id="36" w:name="_Toc517968035"/>
      <w:r>
        <w:t>Developing a common understanding of the RBA</w:t>
      </w:r>
      <w:bookmarkEnd w:id="35"/>
      <w:bookmarkEnd w:id="36"/>
    </w:p>
    <w:p w14:paraId="6E4E2F8B" w14:textId="77777777" w:rsidR="00352F37" w:rsidRDefault="00352F37" w:rsidP="00352F37">
      <w:pPr>
        <w:pStyle w:val="Para"/>
      </w:pPr>
      <w:r>
        <w:t xml:space="preserve">The effectiveness of a RBA depends on a common understanding by competent authorities and life insurers and intermediaries of what the RBA entails, how it should be applied and how ML/TF risks should be addressed. </w:t>
      </w:r>
    </w:p>
    <w:p w14:paraId="6E4E2F8C" w14:textId="7329B77B" w:rsidR="00352F37" w:rsidRDefault="00352F37" w:rsidP="00352F37">
      <w:pPr>
        <w:pStyle w:val="Para"/>
      </w:pPr>
      <w:r>
        <w:t xml:space="preserve">It is important </w:t>
      </w:r>
      <w:r w:rsidR="000B67E9">
        <w:t xml:space="preserve">that </w:t>
      </w:r>
      <w:r>
        <w:t xml:space="preserve">competent authorities recognize that in a risk-based regime, not all life insurers and intermediaries will adopt identical AML/CFT controls and that a </w:t>
      </w:r>
      <w:r>
        <w:lastRenderedPageBreak/>
        <w:t>single isolated incident of insignificant, crystallised risk may not necessarily invalidate the integrity of life insurers and intermediaries’ AML/CFT controls. On the other hand, life insurers and intermediaries should understand that a flexible RBA does not exempt them from applying effective AML/CFT controls and that they must demonstrate to their competent authorities the effectiveness of the AML/CFT controls implemented, which should be commensurate with the risks identified.</w:t>
      </w:r>
    </w:p>
    <w:p w14:paraId="6E4E2F8D" w14:textId="77777777" w:rsidR="00352F37" w:rsidRDefault="00352F37" w:rsidP="00352F37">
      <w:pPr>
        <w:pStyle w:val="Para"/>
      </w:pPr>
      <w:r>
        <w:t xml:space="preserve">In the case of life insurers and/or intermediaries who are part of a financial group or conglomerate, countries and competent authorities should take into account the need for effective consolidated supervision at the group level, including effective cooperation and information sharing between the respective AML/CFT supervisors of various entities within the group and the supervisor of the parent entity (the home supervisor responsible for the supervision of the group-wide AML/CFT policies not always being an insurance supervisor).  </w:t>
      </w:r>
    </w:p>
    <w:p w14:paraId="6E4E2F8E" w14:textId="77777777" w:rsidR="00352F37" w:rsidRDefault="00352F37" w:rsidP="00352F37">
      <w:pPr>
        <w:pStyle w:val="Heading2"/>
        <w:numPr>
          <w:ilvl w:val="1"/>
          <w:numId w:val="13"/>
        </w:numPr>
      </w:pPr>
      <w:bookmarkStart w:id="37" w:name="_Toc509840554"/>
      <w:bookmarkStart w:id="38" w:name="_Toc517968036"/>
      <w:r>
        <w:t>Financial inclusion</w:t>
      </w:r>
      <w:bookmarkEnd w:id="37"/>
      <w:bookmarkEnd w:id="38"/>
      <w:r>
        <w:t xml:space="preserve"> </w:t>
      </w:r>
    </w:p>
    <w:p w14:paraId="6E4E2F8F" w14:textId="77777777" w:rsidR="00352F37" w:rsidRPr="00C97D2D" w:rsidRDefault="00352F37" w:rsidP="00352F37">
      <w:pPr>
        <w:pStyle w:val="Para"/>
        <w:autoSpaceDE w:val="0"/>
        <w:autoSpaceDN w:val="0"/>
        <w:adjustRightInd w:val="0"/>
        <w:rPr>
          <w:szCs w:val="22"/>
        </w:rPr>
      </w:pPr>
      <w:r w:rsidRPr="00C97D2D">
        <w:t>FATF is committed to financial inclusion, which contributes to greater transparency and traceability of financial flows.</w:t>
      </w:r>
      <w:r>
        <w:rPr>
          <w:rStyle w:val="FootnoteReference"/>
        </w:rPr>
        <w:footnoteReference w:id="25"/>
      </w:r>
      <w:r w:rsidRPr="00C97D2D">
        <w:t xml:space="preserve"> The primary focus of financial </w:t>
      </w:r>
      <w:r w:rsidRPr="00D66B89">
        <w:t>inclusion</w:t>
      </w:r>
      <w:r w:rsidRPr="00C97D2D">
        <w:t xml:space="preserve"> is access to banking account and payment services. However, it is important to support, progressively or concurrently, </w:t>
      </w:r>
      <w:r>
        <w:t>improved</w:t>
      </w:r>
      <w:r w:rsidRPr="00C97D2D">
        <w:t xml:space="preserve"> access to the larger range of needed financial services, including tailored life insurance products.</w:t>
      </w:r>
    </w:p>
    <w:p w14:paraId="6E4E2F90" w14:textId="7FC29BC2" w:rsidR="00352F37" w:rsidRPr="00C97D2D" w:rsidRDefault="00352F37" w:rsidP="00352F37">
      <w:pPr>
        <w:pStyle w:val="Para"/>
        <w:autoSpaceDE w:val="0"/>
        <w:autoSpaceDN w:val="0"/>
        <w:adjustRightInd w:val="0"/>
        <w:rPr>
          <w:szCs w:val="22"/>
        </w:rPr>
      </w:pPr>
      <w:r w:rsidRPr="00C97D2D">
        <w:rPr>
          <w:szCs w:val="22"/>
        </w:rPr>
        <w:t xml:space="preserve">Adopting a RBA may help foster financial inclusion, especially in the case of low-income </w:t>
      </w:r>
      <w:r>
        <w:rPr>
          <w:szCs w:val="22"/>
        </w:rPr>
        <w:t xml:space="preserve">or other </w:t>
      </w:r>
      <w:r w:rsidR="000B67E9">
        <w:rPr>
          <w:szCs w:val="22"/>
        </w:rPr>
        <w:t>vulnerable</w:t>
      </w:r>
      <w:r>
        <w:rPr>
          <w:szCs w:val="22"/>
        </w:rPr>
        <w:t xml:space="preserve"> </w:t>
      </w:r>
      <w:r w:rsidRPr="00C97D2D">
        <w:rPr>
          <w:szCs w:val="22"/>
        </w:rPr>
        <w:t xml:space="preserve">individuals who experience difficulties in accessing the regulated financial system. When applying a RBA, jurisdictions may establish specific cases for exemptions in the application of FATF Recommendations (based on proven low risks), or allow </w:t>
      </w:r>
      <w:r>
        <w:rPr>
          <w:szCs w:val="22"/>
        </w:rPr>
        <w:t>life insurers and intermediaries</w:t>
      </w:r>
      <w:r w:rsidRPr="00C97D2D">
        <w:rPr>
          <w:szCs w:val="22"/>
        </w:rPr>
        <w:t xml:space="preserve"> to be more flexible in their application of CDD measures in case of lower ML/TF risks</w:t>
      </w:r>
      <w:r>
        <w:rPr>
          <w:szCs w:val="22"/>
        </w:rPr>
        <w:t xml:space="preserve"> (see Section II), at the condition that they can justify to their supervisors that the CDD measures taken are commensurate to the risks posed</w:t>
      </w:r>
      <w:r w:rsidRPr="00C97D2D">
        <w:rPr>
          <w:szCs w:val="22"/>
        </w:rPr>
        <w:t xml:space="preserve">. </w:t>
      </w:r>
    </w:p>
    <w:p w14:paraId="6E4E2F91" w14:textId="77777777" w:rsidR="00352F37" w:rsidRDefault="00352F37" w:rsidP="00FD3782">
      <w:pPr>
        <w:pStyle w:val="Heading6"/>
        <w:numPr>
          <w:ilvl w:val="5"/>
          <w:numId w:val="13"/>
        </w:numPr>
        <w:spacing w:before="600" w:after="360"/>
      </w:pPr>
      <w:bookmarkStart w:id="39" w:name="_Toc509840555"/>
      <w:r>
        <w:t>SECTION II – GUIDANCE FOR PRIVATE SECTOR</w:t>
      </w:r>
      <w:bookmarkEnd w:id="39"/>
    </w:p>
    <w:p w14:paraId="6E4E2F92" w14:textId="77777777" w:rsidR="00352F37" w:rsidRDefault="00352F37" w:rsidP="00352F37">
      <w:pPr>
        <w:pStyle w:val="Para"/>
      </w:pPr>
      <w:r>
        <w:t>The RBA consists of identifying the ML/TF risks and adopting mitigation measures that are commensurate with the ML/TF risks identified. In the case of life insurers and intermediaries, this applies to the way they allocate their compliance and risk management resources, organise their internal controls and internal structures, and implement policies and procedures to deter and detect ML/TF, including, where relevant, at the group level.</w:t>
      </w:r>
    </w:p>
    <w:p w14:paraId="6E4E2F93" w14:textId="5933A382" w:rsidR="00352F37" w:rsidRDefault="00352F37" w:rsidP="00352F37">
      <w:pPr>
        <w:pStyle w:val="Para"/>
      </w:pPr>
      <w:r>
        <w:t xml:space="preserve">This section provides an outline of the risk assessment process and a wide range of mitigating measures which life insurers and intermediaries may wish to apply. There is no one size fits all approach and life insurers and intermediaries should take into consideration the nature, scale and complexity of their business in order to determine the appropriate mitigating measures to put in place. </w:t>
      </w:r>
    </w:p>
    <w:p w14:paraId="6E4E2F94" w14:textId="77777777" w:rsidR="00352F37" w:rsidRDefault="00352F37" w:rsidP="00352F37">
      <w:pPr>
        <w:pStyle w:val="Para"/>
      </w:pPr>
      <w:r>
        <w:lastRenderedPageBreak/>
        <w:t>Where supervisors’ guidance remains high-level and principles-based, guidance written by industry sectors on how to meet the legal and regulatory obligations may be useful for explanatory and operational purposes. The supervisors’ guidance could also be elaborated in conjunction with the industry. Life insurers and intermediaries should note, however, that the private sector guidance they take into consideration should be consistent with national legislation, and based on international standards and guidelines issued by competent authorities.</w:t>
      </w:r>
    </w:p>
    <w:p w14:paraId="6E4E2F95" w14:textId="77777777" w:rsidR="00352F37" w:rsidRDefault="00352F37" w:rsidP="00352F37">
      <w:pPr>
        <w:pStyle w:val="Heading1"/>
        <w:numPr>
          <w:ilvl w:val="0"/>
          <w:numId w:val="13"/>
        </w:numPr>
      </w:pPr>
      <w:bookmarkStart w:id="40" w:name="_Toc509840556"/>
      <w:bookmarkStart w:id="41" w:name="_Toc517968037"/>
      <w:r>
        <w:t>RISK ASSESSMENT</w:t>
      </w:r>
      <w:bookmarkEnd w:id="40"/>
      <w:bookmarkEnd w:id="41"/>
      <w:r>
        <w:t xml:space="preserve"> </w:t>
      </w:r>
    </w:p>
    <w:p w14:paraId="6E4E2F96" w14:textId="77777777" w:rsidR="00352F37" w:rsidRDefault="00352F37" w:rsidP="00352F37">
      <w:pPr>
        <w:pStyle w:val="Para"/>
      </w:pPr>
      <w:r>
        <w:t xml:space="preserve">The ML/TF risk assessment forms the basis of a life insurer’s and intermediary’s RBA. The key purpose of such an assessment is to understand and </w:t>
      </w:r>
      <w:r w:rsidRPr="00CA72C8">
        <w:t>mitigate inherent</w:t>
      </w:r>
      <w:r>
        <w:t xml:space="preserve"> AML/CFT risks, and enable the life insurer/intermediary to effectively manage residual risks.</w:t>
      </w:r>
      <w:r>
        <w:rPr>
          <w:rStyle w:val="FootnoteReference"/>
        </w:rPr>
        <w:footnoteReference w:id="26"/>
      </w:r>
      <w:r>
        <w:t xml:space="preserve"> </w:t>
      </w:r>
    </w:p>
    <w:p w14:paraId="6E4E2F97" w14:textId="77777777" w:rsidR="00352F37" w:rsidRPr="000B67E9" w:rsidRDefault="00352F37" w:rsidP="00352F37">
      <w:pPr>
        <w:pStyle w:val="BoxHeading"/>
        <w:rPr>
          <w:sz w:val="22"/>
          <w:szCs w:val="22"/>
        </w:rPr>
      </w:pPr>
      <w:r w:rsidRPr="000B67E9">
        <w:rPr>
          <w:sz w:val="22"/>
          <w:szCs w:val="22"/>
        </w:rPr>
        <w:t>Table 2 –Examples of Inherent Risk factors in a life insurance context</w:t>
      </w:r>
      <w:r w:rsidRPr="000B67E9">
        <w:rPr>
          <w:rStyle w:val="FootnoteReference"/>
          <w:szCs w:val="22"/>
        </w:rPr>
        <w:footnoteReference w:id="27"/>
      </w:r>
      <w:r w:rsidRPr="000B67E9">
        <w:rPr>
          <w:sz w:val="22"/>
          <w:szCs w:val="22"/>
        </w:rPr>
        <w:t xml:space="preserve"> </w:t>
      </w:r>
    </w:p>
    <w:p w14:paraId="6E4E2F98" w14:textId="77777777" w:rsidR="00352F37" w:rsidRPr="000B67E9" w:rsidRDefault="00352F37" w:rsidP="00352F37">
      <w:pPr>
        <w:pStyle w:val="BoxHeading"/>
        <w:rPr>
          <w:b w:val="0"/>
          <w:sz w:val="22"/>
          <w:szCs w:val="22"/>
        </w:rPr>
      </w:pPr>
      <w:r w:rsidRPr="000B67E9">
        <w:rPr>
          <w:b w:val="0"/>
          <w:sz w:val="22"/>
          <w:szCs w:val="22"/>
        </w:rPr>
        <w:t>This table should be read together with Table 1 concerning the risk factors linked to life insurance products.</w:t>
      </w:r>
    </w:p>
    <w:tbl>
      <w:tblPr>
        <w:tblW w:w="7938" w:type="dxa"/>
        <w:jc w:val="center"/>
        <w:tblBorders>
          <w:top w:val="single" w:sz="12" w:space="0" w:color="4F81BD"/>
          <w:bottom w:val="single" w:sz="12" w:space="0" w:color="000000"/>
        </w:tblBorders>
        <w:tblCellMar>
          <w:left w:w="0" w:type="dxa"/>
          <w:right w:w="0" w:type="dxa"/>
        </w:tblCellMar>
        <w:tblLook w:val="04A0" w:firstRow="1" w:lastRow="0" w:firstColumn="1" w:lastColumn="0" w:noHBand="0" w:noVBand="1"/>
      </w:tblPr>
      <w:tblGrid>
        <w:gridCol w:w="1693"/>
        <w:gridCol w:w="2063"/>
        <w:gridCol w:w="4182"/>
      </w:tblGrid>
      <w:tr w:rsidR="00352F37" w14:paraId="6E4E2F9C" w14:textId="77777777" w:rsidTr="000B67E9">
        <w:trPr>
          <w:jc w:val="center"/>
        </w:trPr>
        <w:tc>
          <w:tcPr>
            <w:tcW w:w="0" w:type="auto"/>
            <w:tcBorders>
              <w:top w:val="single" w:sz="12" w:space="0" w:color="000000"/>
              <w:bottom w:val="single" w:sz="8" w:space="0" w:color="000000"/>
            </w:tcBorders>
            <w:shd w:val="clear" w:color="auto" w:fill="FFFFFF"/>
            <w:tcMar>
              <w:top w:w="0" w:type="dxa"/>
              <w:left w:w="108" w:type="dxa"/>
              <w:bottom w:w="0" w:type="dxa"/>
              <w:right w:w="108" w:type="dxa"/>
            </w:tcMar>
            <w:vAlign w:val="center"/>
            <w:hideMark/>
          </w:tcPr>
          <w:p w14:paraId="6E4E2F99" w14:textId="77777777" w:rsidR="00352F37" w:rsidRPr="000B67E9" w:rsidRDefault="00352F37" w:rsidP="000B67E9">
            <w:pPr>
              <w:spacing w:after="200" w:line="276" w:lineRule="auto"/>
              <w:jc w:val="center"/>
              <w:rPr>
                <w:rFonts w:ascii="Times New Roman Bold" w:eastAsia="MS Mincho" w:hAnsi="Times New Roman Bold" w:cstheme="minorBidi" w:hint="eastAsia"/>
                <w:b/>
                <w:smallCaps/>
                <w:szCs w:val="22"/>
                <w:lang w:bidi="en-US"/>
              </w:rPr>
            </w:pPr>
            <w:r w:rsidRPr="000B67E9">
              <w:rPr>
                <w:rFonts w:ascii="Times New Roman Bold" w:hAnsi="Times New Roman Bold"/>
                <w:b/>
                <w:smallCaps/>
              </w:rPr>
              <w:t>Risk Factor Categories</w:t>
            </w:r>
          </w:p>
        </w:tc>
        <w:tc>
          <w:tcPr>
            <w:tcW w:w="0" w:type="auto"/>
            <w:tcBorders>
              <w:top w:val="single" w:sz="12" w:space="0" w:color="000000"/>
              <w:bottom w:val="single" w:sz="8" w:space="0" w:color="000000"/>
            </w:tcBorders>
            <w:shd w:val="clear" w:color="auto" w:fill="FFFFFF"/>
            <w:tcMar>
              <w:top w:w="0" w:type="dxa"/>
              <w:left w:w="108" w:type="dxa"/>
              <w:bottom w:w="0" w:type="dxa"/>
              <w:right w:w="108" w:type="dxa"/>
            </w:tcMar>
            <w:vAlign w:val="center"/>
            <w:hideMark/>
          </w:tcPr>
          <w:p w14:paraId="6E4E2F9A" w14:textId="77777777" w:rsidR="00352F37" w:rsidRPr="000B67E9" w:rsidRDefault="00352F37" w:rsidP="000B67E9">
            <w:pPr>
              <w:spacing w:after="200" w:line="276" w:lineRule="auto"/>
              <w:jc w:val="center"/>
              <w:rPr>
                <w:rFonts w:ascii="Times New Roman Bold" w:eastAsia="MS Mincho" w:hAnsi="Times New Roman Bold" w:cstheme="minorBidi" w:hint="eastAsia"/>
                <w:b/>
                <w:smallCaps/>
                <w:szCs w:val="22"/>
                <w:lang w:bidi="en-US"/>
              </w:rPr>
            </w:pPr>
            <w:r w:rsidRPr="000B67E9">
              <w:rPr>
                <w:rFonts w:ascii="Times New Roman Bold" w:hAnsi="Times New Roman Bold"/>
                <w:b/>
                <w:smallCaps/>
              </w:rPr>
              <w:t>Examples Risk Factor</w:t>
            </w:r>
          </w:p>
        </w:tc>
        <w:tc>
          <w:tcPr>
            <w:tcW w:w="0" w:type="auto"/>
            <w:tcBorders>
              <w:top w:val="single" w:sz="12" w:space="0" w:color="000000"/>
              <w:bottom w:val="single" w:sz="8" w:space="0" w:color="000000"/>
            </w:tcBorders>
            <w:shd w:val="clear" w:color="auto" w:fill="FFFFFF"/>
            <w:tcMar>
              <w:top w:w="0" w:type="dxa"/>
              <w:left w:w="108" w:type="dxa"/>
              <w:bottom w:w="0" w:type="dxa"/>
              <w:right w:w="108" w:type="dxa"/>
            </w:tcMar>
            <w:vAlign w:val="center"/>
            <w:hideMark/>
          </w:tcPr>
          <w:p w14:paraId="6E4E2F9B" w14:textId="2A03A7F4" w:rsidR="00352F37" w:rsidRPr="000B67E9" w:rsidRDefault="00352F37" w:rsidP="000B67E9">
            <w:pPr>
              <w:spacing w:after="200" w:line="276" w:lineRule="auto"/>
              <w:jc w:val="center"/>
              <w:rPr>
                <w:rFonts w:ascii="Times New Roman Bold" w:eastAsia="MS Mincho" w:hAnsi="Times New Roman Bold" w:cstheme="minorBidi" w:hint="eastAsia"/>
                <w:b/>
                <w:smallCaps/>
                <w:szCs w:val="22"/>
                <w:lang w:bidi="en-US"/>
              </w:rPr>
            </w:pPr>
            <w:r w:rsidRPr="000B67E9">
              <w:rPr>
                <w:rFonts w:ascii="Times New Roman Bold" w:hAnsi="Times New Roman Bold"/>
                <w:b/>
                <w:smallCaps/>
              </w:rPr>
              <w:t>Example Description</w:t>
            </w:r>
          </w:p>
        </w:tc>
      </w:tr>
      <w:tr w:rsidR="00352F37" w14:paraId="6E4E2FA3" w14:textId="77777777" w:rsidTr="000B67E9">
        <w:trPr>
          <w:jc w:val="center"/>
        </w:trPr>
        <w:tc>
          <w:tcPr>
            <w:tcW w:w="0" w:type="auto"/>
            <w:vMerge w:val="restart"/>
            <w:shd w:val="clear" w:color="auto" w:fill="EDF0F7"/>
            <w:tcMar>
              <w:top w:w="0" w:type="dxa"/>
              <w:left w:w="108" w:type="dxa"/>
              <w:bottom w:w="0" w:type="dxa"/>
              <w:right w:w="108" w:type="dxa"/>
            </w:tcMar>
            <w:hideMark/>
          </w:tcPr>
          <w:p w14:paraId="6E4E2F9D" w14:textId="77777777" w:rsidR="00352F37" w:rsidRPr="000B67E9" w:rsidRDefault="00352F37" w:rsidP="000B67E9">
            <w:pPr>
              <w:jc w:val="left"/>
              <w:rPr>
                <w:rFonts w:asciiTheme="minorHAnsi" w:eastAsia="MS Mincho" w:hAnsiTheme="minorHAnsi" w:cstheme="minorBidi"/>
                <w:b/>
                <w:szCs w:val="22"/>
                <w:lang w:bidi="en-US"/>
              </w:rPr>
            </w:pPr>
            <w:r w:rsidRPr="000B67E9">
              <w:rPr>
                <w:b/>
              </w:rPr>
              <w:t xml:space="preserve">Customers and related parties </w:t>
            </w:r>
          </w:p>
          <w:p w14:paraId="6E4E2F9E" w14:textId="77777777" w:rsidR="00352F37" w:rsidRPr="000B67E9" w:rsidRDefault="00352F37" w:rsidP="000B67E9">
            <w:pPr>
              <w:jc w:val="left"/>
              <w:rPr>
                <w:b/>
              </w:rPr>
            </w:pPr>
            <w:r w:rsidRPr="000B67E9">
              <w:rPr>
                <w:b/>
              </w:rPr>
              <w:t>(policyholder and if any, its beneficial owner,</w:t>
            </w:r>
          </w:p>
          <w:p w14:paraId="6E4E2F9F" w14:textId="77777777" w:rsidR="00352F37" w:rsidRPr="000B67E9" w:rsidRDefault="00352F37" w:rsidP="000B67E9">
            <w:pPr>
              <w:jc w:val="left"/>
              <w:rPr>
                <w:b/>
              </w:rPr>
            </w:pPr>
            <w:r w:rsidRPr="000B67E9">
              <w:rPr>
                <w:b/>
              </w:rPr>
              <w:t>the beneficiary and if any, its beneficial owner)</w:t>
            </w:r>
          </w:p>
          <w:p w14:paraId="6E4E2FA0" w14:textId="77777777" w:rsidR="00352F37" w:rsidRDefault="00352F37" w:rsidP="000B67E9">
            <w:pPr>
              <w:spacing w:after="200" w:line="276" w:lineRule="auto"/>
              <w:jc w:val="left"/>
              <w:rPr>
                <w:rFonts w:asciiTheme="minorHAnsi" w:eastAsia="MS Mincho" w:hAnsiTheme="minorHAnsi" w:cstheme="minorBidi"/>
                <w:szCs w:val="22"/>
                <w:lang w:bidi="en-US"/>
              </w:rPr>
            </w:pPr>
            <w:r>
              <w:br w:type="page"/>
            </w:r>
          </w:p>
        </w:tc>
        <w:tc>
          <w:tcPr>
            <w:tcW w:w="0" w:type="auto"/>
            <w:shd w:val="clear" w:color="auto" w:fill="EDF0F7"/>
            <w:tcMar>
              <w:top w:w="0" w:type="dxa"/>
              <w:left w:w="108" w:type="dxa"/>
              <w:bottom w:w="0" w:type="dxa"/>
              <w:right w:w="108" w:type="dxa"/>
            </w:tcMar>
            <w:hideMark/>
          </w:tcPr>
          <w:p w14:paraId="6E4E2FA1" w14:textId="77777777" w:rsidR="00352F37" w:rsidRDefault="00352F37" w:rsidP="007667A1">
            <w:pPr>
              <w:spacing w:after="200" w:line="276" w:lineRule="auto"/>
              <w:rPr>
                <w:rFonts w:asciiTheme="minorHAnsi" w:eastAsia="MS Mincho" w:hAnsiTheme="minorHAnsi" w:cstheme="minorBidi"/>
                <w:szCs w:val="22"/>
                <w:lang w:bidi="en-US"/>
              </w:rPr>
            </w:pPr>
            <w:r>
              <w:t>Customer base growth</w:t>
            </w:r>
          </w:p>
        </w:tc>
        <w:tc>
          <w:tcPr>
            <w:tcW w:w="0" w:type="auto"/>
            <w:shd w:val="clear" w:color="auto" w:fill="EDF0F7"/>
            <w:tcMar>
              <w:top w:w="0" w:type="dxa"/>
              <w:left w:w="108" w:type="dxa"/>
              <w:bottom w:w="0" w:type="dxa"/>
              <w:right w:w="108" w:type="dxa"/>
            </w:tcMar>
            <w:hideMark/>
          </w:tcPr>
          <w:p w14:paraId="6E4E2FA2" w14:textId="77777777" w:rsidR="00352F37" w:rsidRDefault="00352F37" w:rsidP="007667A1">
            <w:pPr>
              <w:spacing w:after="200" w:line="276" w:lineRule="auto"/>
              <w:rPr>
                <w:rFonts w:asciiTheme="minorHAnsi" w:eastAsia="MS Mincho" w:hAnsiTheme="minorHAnsi" w:cstheme="minorBidi"/>
                <w:szCs w:val="22"/>
                <w:lang w:bidi="en-US"/>
              </w:rPr>
            </w:pPr>
            <w:r>
              <w:t>Rapid growth and/or turn-over of customer base in terms of amount and customer diversity pose higher ML/TF risks. Therefore, an insurer should pay extra attention to a new campaign aimed at increasing the customer base significantly, to a subscription of a high net worth life policy by a new customer compared to a well-known customer with already other business relationships with the insurer for long time.</w:t>
            </w:r>
          </w:p>
        </w:tc>
      </w:tr>
      <w:tr w:rsidR="00352F37" w14:paraId="6E4E2FA7" w14:textId="77777777" w:rsidTr="007667A1">
        <w:trPr>
          <w:jc w:val="center"/>
        </w:trPr>
        <w:tc>
          <w:tcPr>
            <w:tcW w:w="0" w:type="auto"/>
            <w:vMerge/>
            <w:vAlign w:val="center"/>
            <w:hideMark/>
          </w:tcPr>
          <w:p w14:paraId="6E4E2FA4" w14:textId="77777777" w:rsidR="00352F37" w:rsidRDefault="00352F37" w:rsidP="007667A1">
            <w:pPr>
              <w:rPr>
                <w:rFonts w:asciiTheme="minorHAnsi" w:eastAsia="MS Mincho" w:hAnsiTheme="minorHAnsi" w:cstheme="minorBidi"/>
                <w:szCs w:val="22"/>
                <w:lang w:bidi="en-US"/>
              </w:rPr>
            </w:pPr>
          </w:p>
        </w:tc>
        <w:tc>
          <w:tcPr>
            <w:tcW w:w="0" w:type="auto"/>
            <w:shd w:val="clear" w:color="auto" w:fill="FFFFFF"/>
            <w:tcMar>
              <w:top w:w="0" w:type="dxa"/>
              <w:left w:w="108" w:type="dxa"/>
              <w:bottom w:w="0" w:type="dxa"/>
              <w:right w:w="108" w:type="dxa"/>
            </w:tcMar>
            <w:hideMark/>
          </w:tcPr>
          <w:p w14:paraId="6E4E2FA5" w14:textId="77777777" w:rsidR="00352F37" w:rsidRDefault="00352F37" w:rsidP="007667A1">
            <w:pPr>
              <w:spacing w:after="200" w:line="276" w:lineRule="auto"/>
              <w:rPr>
                <w:rFonts w:asciiTheme="minorHAnsi" w:eastAsia="MS Mincho" w:hAnsiTheme="minorHAnsi" w:cstheme="minorBidi"/>
                <w:szCs w:val="22"/>
                <w:lang w:bidi="en-US"/>
              </w:rPr>
            </w:pPr>
            <w:r>
              <w:t xml:space="preserve">Individuals who are more difficult to </w:t>
            </w:r>
            <w:r>
              <w:lastRenderedPageBreak/>
              <w:t>identify</w:t>
            </w:r>
          </w:p>
        </w:tc>
        <w:tc>
          <w:tcPr>
            <w:tcW w:w="0" w:type="auto"/>
            <w:shd w:val="clear" w:color="auto" w:fill="FFFFFF"/>
            <w:tcMar>
              <w:top w:w="0" w:type="dxa"/>
              <w:left w:w="108" w:type="dxa"/>
              <w:bottom w:w="0" w:type="dxa"/>
              <w:right w:w="108" w:type="dxa"/>
            </w:tcMar>
            <w:hideMark/>
          </w:tcPr>
          <w:p w14:paraId="6E4E2FA6" w14:textId="77777777" w:rsidR="00352F37" w:rsidRDefault="00352F37" w:rsidP="007667A1">
            <w:pPr>
              <w:spacing w:after="200" w:line="276" w:lineRule="auto"/>
              <w:rPr>
                <w:rFonts w:asciiTheme="minorHAnsi" w:eastAsia="MS Mincho" w:hAnsiTheme="minorHAnsi" w:cstheme="minorBidi"/>
                <w:szCs w:val="22"/>
                <w:lang w:bidi="en-US"/>
              </w:rPr>
            </w:pPr>
            <w:r>
              <w:lastRenderedPageBreak/>
              <w:t xml:space="preserve">Difficulty in identifying the person on whose behalf the business relationship or transaction is being conducted, generally </w:t>
            </w:r>
            <w:r>
              <w:lastRenderedPageBreak/>
              <w:t>with involvement of third-parties (e.g., policy holder different from the insured person and beneficiary and with no apparent relationships with them, or third-party payer on the contract with no apparent relationship with the policy holder).</w:t>
            </w:r>
          </w:p>
        </w:tc>
      </w:tr>
      <w:tr w:rsidR="00352F37" w14:paraId="6E4E2FAB" w14:textId="77777777" w:rsidTr="007667A1">
        <w:trPr>
          <w:jc w:val="center"/>
        </w:trPr>
        <w:tc>
          <w:tcPr>
            <w:tcW w:w="0" w:type="auto"/>
            <w:vMerge/>
            <w:vAlign w:val="center"/>
            <w:hideMark/>
          </w:tcPr>
          <w:p w14:paraId="6E4E2FA8" w14:textId="77777777" w:rsidR="00352F37" w:rsidRDefault="00352F37" w:rsidP="007667A1">
            <w:pPr>
              <w:rPr>
                <w:rFonts w:asciiTheme="minorHAnsi" w:eastAsia="MS Mincho" w:hAnsiTheme="minorHAnsi" w:cstheme="minorBidi"/>
                <w:szCs w:val="22"/>
                <w:lang w:bidi="en-US"/>
              </w:rPr>
            </w:pPr>
          </w:p>
        </w:tc>
        <w:tc>
          <w:tcPr>
            <w:tcW w:w="0" w:type="auto"/>
            <w:shd w:val="clear" w:color="auto" w:fill="EDF0F7"/>
            <w:tcMar>
              <w:top w:w="0" w:type="dxa"/>
              <w:left w:w="108" w:type="dxa"/>
              <w:bottom w:w="0" w:type="dxa"/>
              <w:right w:w="108" w:type="dxa"/>
            </w:tcMar>
            <w:hideMark/>
          </w:tcPr>
          <w:p w14:paraId="6E4E2FA9" w14:textId="77777777" w:rsidR="00352F37" w:rsidRDefault="00352F37" w:rsidP="007667A1">
            <w:pPr>
              <w:spacing w:after="200" w:line="276" w:lineRule="auto"/>
              <w:jc w:val="left"/>
              <w:rPr>
                <w:rFonts w:asciiTheme="minorHAnsi" w:eastAsia="MS Mincho" w:hAnsiTheme="minorHAnsi" w:cstheme="minorBidi"/>
                <w:szCs w:val="22"/>
                <w:lang w:bidi="en-US"/>
              </w:rPr>
            </w:pPr>
            <w:r>
              <w:t>Structures that make it difficult to identify the beneficial owner of the policyholder or of the beneficiary</w:t>
            </w:r>
          </w:p>
        </w:tc>
        <w:tc>
          <w:tcPr>
            <w:tcW w:w="0" w:type="auto"/>
            <w:shd w:val="clear" w:color="auto" w:fill="EDF0F7"/>
            <w:tcMar>
              <w:top w:w="0" w:type="dxa"/>
              <w:left w:w="108" w:type="dxa"/>
              <w:bottom w:w="0" w:type="dxa"/>
              <w:right w:w="108" w:type="dxa"/>
            </w:tcMar>
            <w:hideMark/>
          </w:tcPr>
          <w:p w14:paraId="6E4E2FAA" w14:textId="77777777" w:rsidR="00352F37" w:rsidRDefault="00352F37" w:rsidP="007667A1">
            <w:pPr>
              <w:spacing w:after="200" w:line="276" w:lineRule="auto"/>
              <w:rPr>
                <w:rFonts w:asciiTheme="minorHAnsi" w:eastAsia="MS Mincho" w:hAnsiTheme="minorHAnsi" w:cstheme="minorBidi"/>
                <w:szCs w:val="22"/>
                <w:lang w:bidi="en-US"/>
              </w:rPr>
            </w:pPr>
            <w:r>
              <w:t>Complex ownership and control structures involving multiple layers of shares registered in the name of legal entities and/ or non-transparent structures (e.g., trusts and other legal arrangements designated as beneficiaries of life policies, enabling a separation of legal ownership and beneficial ownership of assets).</w:t>
            </w:r>
          </w:p>
        </w:tc>
      </w:tr>
      <w:tr w:rsidR="00352F37" w14:paraId="6E4E2FAF" w14:textId="77777777" w:rsidTr="007667A1">
        <w:trPr>
          <w:jc w:val="center"/>
        </w:trPr>
        <w:tc>
          <w:tcPr>
            <w:tcW w:w="0" w:type="auto"/>
            <w:vMerge/>
            <w:vAlign w:val="center"/>
            <w:hideMark/>
          </w:tcPr>
          <w:p w14:paraId="6E4E2FAC" w14:textId="77777777" w:rsidR="00352F37" w:rsidRDefault="00352F37" w:rsidP="007667A1">
            <w:pPr>
              <w:rPr>
                <w:rFonts w:asciiTheme="minorHAnsi" w:eastAsia="MS Mincho" w:hAnsiTheme="minorHAnsi" w:cstheme="minorBidi"/>
                <w:szCs w:val="22"/>
                <w:lang w:bidi="en-US"/>
              </w:rPr>
            </w:pPr>
          </w:p>
        </w:tc>
        <w:tc>
          <w:tcPr>
            <w:tcW w:w="0" w:type="auto"/>
            <w:shd w:val="clear" w:color="auto" w:fill="FFFFFF"/>
            <w:tcMar>
              <w:top w:w="0" w:type="dxa"/>
              <w:left w:w="108" w:type="dxa"/>
              <w:bottom w:w="0" w:type="dxa"/>
              <w:right w:w="108" w:type="dxa"/>
            </w:tcMar>
            <w:hideMark/>
          </w:tcPr>
          <w:p w14:paraId="6E4E2FAD" w14:textId="77777777" w:rsidR="00352F37" w:rsidRDefault="00352F37" w:rsidP="007667A1">
            <w:pPr>
              <w:spacing w:after="200" w:line="276" w:lineRule="auto"/>
              <w:rPr>
                <w:rFonts w:asciiTheme="minorHAnsi" w:eastAsia="MS Mincho" w:hAnsiTheme="minorHAnsi" w:cstheme="minorBidi"/>
                <w:szCs w:val="22"/>
                <w:lang w:bidi="en-US"/>
              </w:rPr>
            </w:pPr>
            <w:r>
              <w:t>Unusual circumstances associated with the customer’s business relationships or transactions</w:t>
            </w:r>
          </w:p>
        </w:tc>
        <w:tc>
          <w:tcPr>
            <w:tcW w:w="0" w:type="auto"/>
            <w:shd w:val="clear" w:color="auto" w:fill="FFFFFF"/>
            <w:tcMar>
              <w:top w:w="0" w:type="dxa"/>
              <w:left w:w="108" w:type="dxa"/>
              <w:bottom w:w="0" w:type="dxa"/>
              <w:right w:w="108" w:type="dxa"/>
            </w:tcMar>
            <w:hideMark/>
          </w:tcPr>
          <w:p w14:paraId="6E4E2FAE" w14:textId="77777777" w:rsidR="00352F37" w:rsidRDefault="00352F37" w:rsidP="007667A1">
            <w:pPr>
              <w:spacing w:after="200" w:line="276" w:lineRule="auto"/>
              <w:rPr>
                <w:rFonts w:asciiTheme="minorHAnsi" w:eastAsia="MS Mincho" w:hAnsiTheme="minorHAnsi" w:cstheme="minorBidi"/>
                <w:szCs w:val="22"/>
                <w:lang w:bidi="en-US"/>
              </w:rPr>
            </w:pPr>
            <w:r>
              <w:t>Customer activity not consistent with the customer’s known profile and lacks business rationale or economic justification causing economic losses (e.g., an early surrender for a large amount without understandable rationale or transactional activity causing economic losses).</w:t>
            </w:r>
          </w:p>
        </w:tc>
      </w:tr>
      <w:tr w:rsidR="00352F37" w14:paraId="6E4E2FB3" w14:textId="77777777" w:rsidTr="007667A1">
        <w:trPr>
          <w:jc w:val="center"/>
        </w:trPr>
        <w:tc>
          <w:tcPr>
            <w:tcW w:w="0" w:type="auto"/>
            <w:vMerge/>
            <w:vAlign w:val="center"/>
            <w:hideMark/>
          </w:tcPr>
          <w:p w14:paraId="6E4E2FB0" w14:textId="77777777" w:rsidR="00352F37" w:rsidRDefault="00352F37" w:rsidP="007667A1">
            <w:pPr>
              <w:rPr>
                <w:rFonts w:asciiTheme="minorHAnsi" w:eastAsia="MS Mincho" w:hAnsiTheme="minorHAnsi" w:cstheme="minorBidi"/>
                <w:szCs w:val="22"/>
                <w:lang w:bidi="en-US"/>
              </w:rPr>
            </w:pPr>
          </w:p>
        </w:tc>
        <w:tc>
          <w:tcPr>
            <w:tcW w:w="0" w:type="auto"/>
            <w:shd w:val="clear" w:color="auto" w:fill="EDF0F7"/>
            <w:tcMar>
              <w:top w:w="0" w:type="dxa"/>
              <w:left w:w="108" w:type="dxa"/>
              <w:bottom w:w="0" w:type="dxa"/>
              <w:right w:w="108" w:type="dxa"/>
            </w:tcMar>
            <w:hideMark/>
          </w:tcPr>
          <w:p w14:paraId="6E4E2FB1" w14:textId="77777777" w:rsidR="00352F37" w:rsidRDefault="00352F37" w:rsidP="007667A1">
            <w:pPr>
              <w:spacing w:after="200" w:line="276" w:lineRule="auto"/>
              <w:jc w:val="center"/>
              <w:rPr>
                <w:rFonts w:asciiTheme="minorHAnsi" w:eastAsia="MS Mincho" w:hAnsiTheme="minorHAnsi" w:cstheme="minorBidi"/>
                <w:szCs w:val="22"/>
                <w:lang w:bidi="en-US"/>
              </w:rPr>
            </w:pPr>
            <w:r>
              <w:t>PEPs exposure</w:t>
            </w:r>
          </w:p>
        </w:tc>
        <w:tc>
          <w:tcPr>
            <w:tcW w:w="0" w:type="auto"/>
            <w:shd w:val="clear" w:color="auto" w:fill="EDF0F7"/>
            <w:tcMar>
              <w:top w:w="0" w:type="dxa"/>
              <w:left w:w="108" w:type="dxa"/>
              <w:bottom w:w="0" w:type="dxa"/>
              <w:right w:w="108" w:type="dxa"/>
            </w:tcMar>
            <w:hideMark/>
          </w:tcPr>
          <w:p w14:paraId="6E4E2FB2" w14:textId="77777777" w:rsidR="00352F37" w:rsidRDefault="00352F37" w:rsidP="007667A1">
            <w:pPr>
              <w:spacing w:after="200" w:line="276" w:lineRule="auto"/>
              <w:rPr>
                <w:rFonts w:asciiTheme="minorHAnsi" w:eastAsia="MS Mincho" w:hAnsiTheme="minorHAnsi" w:cstheme="minorBidi"/>
                <w:szCs w:val="22"/>
                <w:lang w:bidi="en-US"/>
              </w:rPr>
            </w:pPr>
            <w:r>
              <w:t>Business relationships involving a person(s) (i.e., policyholder, beneficiary, beneficial owner of the policyholder or of the beneficiary) defined as a Politically Exposed Person including his/her family members or close associates, as covered under Recommendation 12. (e.g., a PEP designated as beneficiary by an unrelated policy holder could hide a corrupt activity – to be paid extra attention to such a case as the PEP could evade identification as such up to the effective pay-out).</w:t>
            </w:r>
          </w:p>
        </w:tc>
      </w:tr>
      <w:tr w:rsidR="00352F37" w14:paraId="6E4E2FB7" w14:textId="77777777" w:rsidTr="007667A1">
        <w:trPr>
          <w:jc w:val="center"/>
        </w:trPr>
        <w:tc>
          <w:tcPr>
            <w:tcW w:w="0" w:type="auto"/>
            <w:vMerge/>
            <w:vAlign w:val="center"/>
            <w:hideMark/>
          </w:tcPr>
          <w:p w14:paraId="6E4E2FB4" w14:textId="77777777" w:rsidR="00352F37" w:rsidRDefault="00352F37" w:rsidP="007667A1">
            <w:pPr>
              <w:rPr>
                <w:rFonts w:asciiTheme="minorHAnsi" w:eastAsia="MS Mincho" w:hAnsiTheme="minorHAnsi" w:cstheme="minorBidi"/>
                <w:szCs w:val="22"/>
                <w:lang w:bidi="en-US"/>
              </w:rPr>
            </w:pPr>
          </w:p>
        </w:tc>
        <w:tc>
          <w:tcPr>
            <w:tcW w:w="0" w:type="auto"/>
            <w:shd w:val="clear" w:color="auto" w:fill="FFFFFF"/>
            <w:tcMar>
              <w:top w:w="0" w:type="dxa"/>
              <w:left w:w="108" w:type="dxa"/>
              <w:bottom w:w="0" w:type="dxa"/>
              <w:right w:w="108" w:type="dxa"/>
            </w:tcMar>
            <w:hideMark/>
          </w:tcPr>
          <w:p w14:paraId="6E4E2FB5" w14:textId="77777777" w:rsidR="00352F37" w:rsidRDefault="00352F37" w:rsidP="007667A1">
            <w:pPr>
              <w:spacing w:after="200" w:line="276" w:lineRule="auto"/>
              <w:jc w:val="center"/>
              <w:rPr>
                <w:rFonts w:asciiTheme="minorHAnsi" w:eastAsia="MS Mincho" w:hAnsiTheme="minorHAnsi" w:cstheme="minorBidi"/>
                <w:szCs w:val="22"/>
                <w:lang w:bidi="en-US"/>
              </w:rPr>
            </w:pPr>
            <w:r>
              <w:t>Payment methods</w:t>
            </w:r>
          </w:p>
        </w:tc>
        <w:tc>
          <w:tcPr>
            <w:tcW w:w="0" w:type="auto"/>
            <w:shd w:val="clear" w:color="auto" w:fill="FFFFFF"/>
            <w:tcMar>
              <w:top w:w="0" w:type="dxa"/>
              <w:left w:w="108" w:type="dxa"/>
              <w:bottom w:w="0" w:type="dxa"/>
              <w:right w:w="108" w:type="dxa"/>
            </w:tcMar>
            <w:hideMark/>
          </w:tcPr>
          <w:p w14:paraId="6E4E2FB6" w14:textId="77777777" w:rsidR="00352F37" w:rsidRDefault="00352F37" w:rsidP="007667A1">
            <w:pPr>
              <w:spacing w:after="200" w:line="276" w:lineRule="auto"/>
              <w:rPr>
                <w:rFonts w:asciiTheme="minorHAnsi" w:eastAsia="MS Mincho" w:hAnsiTheme="minorHAnsi" w:cstheme="minorBidi"/>
                <w:szCs w:val="22"/>
                <w:lang w:bidi="en-US"/>
              </w:rPr>
            </w:pPr>
            <w:r>
              <w:t>Payment methods which may contribute to increase the ML/TF risks (e.g., cash or other forms of payment vehicles fostering anonymity; payments from different bank accounts without explanation; payments received from unrelated third parties).</w:t>
            </w:r>
          </w:p>
        </w:tc>
      </w:tr>
      <w:tr w:rsidR="00352F37" w14:paraId="6E4E2FBB" w14:textId="77777777" w:rsidTr="007667A1">
        <w:trPr>
          <w:jc w:val="center"/>
        </w:trPr>
        <w:tc>
          <w:tcPr>
            <w:tcW w:w="0" w:type="auto"/>
            <w:vMerge/>
            <w:vAlign w:val="center"/>
            <w:hideMark/>
          </w:tcPr>
          <w:p w14:paraId="6E4E2FB8" w14:textId="77777777" w:rsidR="00352F37" w:rsidRDefault="00352F37" w:rsidP="007667A1">
            <w:pPr>
              <w:rPr>
                <w:rFonts w:asciiTheme="minorHAnsi" w:eastAsia="MS Mincho" w:hAnsiTheme="minorHAnsi" w:cstheme="minorBidi"/>
                <w:szCs w:val="22"/>
                <w:lang w:bidi="en-US"/>
              </w:rPr>
            </w:pPr>
          </w:p>
        </w:tc>
        <w:tc>
          <w:tcPr>
            <w:tcW w:w="0" w:type="auto"/>
            <w:shd w:val="clear" w:color="auto" w:fill="EDF0F7"/>
            <w:tcMar>
              <w:top w:w="0" w:type="dxa"/>
              <w:left w:w="108" w:type="dxa"/>
              <w:bottom w:w="0" w:type="dxa"/>
              <w:right w:w="108" w:type="dxa"/>
            </w:tcMar>
            <w:hideMark/>
          </w:tcPr>
          <w:p w14:paraId="6E4E2FB9" w14:textId="77777777" w:rsidR="00352F37" w:rsidRDefault="00352F37" w:rsidP="007667A1">
            <w:pPr>
              <w:spacing w:after="200" w:line="276" w:lineRule="auto"/>
              <w:jc w:val="center"/>
              <w:rPr>
                <w:rFonts w:asciiTheme="minorHAnsi" w:eastAsia="MS Mincho" w:hAnsiTheme="minorHAnsi" w:cstheme="minorBidi"/>
                <w:szCs w:val="22"/>
                <w:lang w:bidi="en-US"/>
              </w:rPr>
            </w:pPr>
            <w:r>
              <w:t xml:space="preserve">Origin or source of </w:t>
            </w:r>
            <w:r>
              <w:lastRenderedPageBreak/>
              <w:t>funds and wealth</w:t>
            </w:r>
          </w:p>
        </w:tc>
        <w:tc>
          <w:tcPr>
            <w:tcW w:w="0" w:type="auto"/>
            <w:shd w:val="clear" w:color="auto" w:fill="EDF0F7"/>
            <w:tcMar>
              <w:top w:w="0" w:type="dxa"/>
              <w:left w:w="108" w:type="dxa"/>
              <w:bottom w:w="0" w:type="dxa"/>
              <w:right w:w="108" w:type="dxa"/>
            </w:tcMar>
            <w:hideMark/>
          </w:tcPr>
          <w:p w14:paraId="6E4E2FBA" w14:textId="77777777" w:rsidR="00352F37" w:rsidRDefault="00352F37" w:rsidP="007667A1">
            <w:pPr>
              <w:spacing w:after="200" w:line="276" w:lineRule="auto"/>
              <w:rPr>
                <w:rFonts w:asciiTheme="minorHAnsi" w:eastAsia="MS Mincho" w:hAnsiTheme="minorHAnsi" w:cstheme="minorBidi"/>
                <w:szCs w:val="22"/>
                <w:lang w:bidi="en-US"/>
              </w:rPr>
            </w:pPr>
            <w:r>
              <w:lastRenderedPageBreak/>
              <w:t xml:space="preserve">Unclear or suspicious source of wealth </w:t>
            </w:r>
            <w:r>
              <w:lastRenderedPageBreak/>
              <w:t>and/or source of funds that are involved in the business relationship. (e.g., large investment in a unit-linked product by a low-income person without a clear source of wealth).</w:t>
            </w:r>
          </w:p>
        </w:tc>
      </w:tr>
      <w:tr w:rsidR="00352F37" w14:paraId="6E4E2FBF" w14:textId="77777777" w:rsidTr="00547963">
        <w:trPr>
          <w:jc w:val="center"/>
        </w:trPr>
        <w:tc>
          <w:tcPr>
            <w:tcW w:w="0" w:type="auto"/>
            <w:vMerge/>
            <w:tcBorders>
              <w:bottom w:val="single" w:sz="4" w:space="0" w:color="auto"/>
            </w:tcBorders>
            <w:vAlign w:val="center"/>
            <w:hideMark/>
          </w:tcPr>
          <w:p w14:paraId="6E4E2FBC" w14:textId="77777777" w:rsidR="00352F37" w:rsidRDefault="00352F37" w:rsidP="007667A1">
            <w:pPr>
              <w:rPr>
                <w:rFonts w:asciiTheme="minorHAnsi" w:eastAsia="MS Mincho" w:hAnsiTheme="minorHAnsi" w:cstheme="minorBidi"/>
                <w:szCs w:val="22"/>
                <w:lang w:bidi="en-US"/>
              </w:rPr>
            </w:pPr>
          </w:p>
        </w:tc>
        <w:tc>
          <w:tcPr>
            <w:tcW w:w="0" w:type="auto"/>
            <w:tcBorders>
              <w:bottom w:val="single" w:sz="4" w:space="0" w:color="auto"/>
            </w:tcBorders>
            <w:shd w:val="clear" w:color="auto" w:fill="FFFFFF"/>
            <w:tcMar>
              <w:top w:w="0" w:type="dxa"/>
              <w:left w:w="108" w:type="dxa"/>
              <w:bottom w:w="0" w:type="dxa"/>
              <w:right w:w="108" w:type="dxa"/>
            </w:tcMar>
            <w:hideMark/>
          </w:tcPr>
          <w:p w14:paraId="6E4E2FBD" w14:textId="77777777" w:rsidR="00352F37" w:rsidRDefault="00352F37" w:rsidP="007667A1">
            <w:pPr>
              <w:spacing w:after="200" w:line="276" w:lineRule="auto"/>
              <w:rPr>
                <w:rFonts w:asciiTheme="minorHAnsi" w:eastAsia="MS Mincho" w:hAnsiTheme="minorHAnsi" w:cstheme="minorBidi"/>
                <w:szCs w:val="22"/>
                <w:lang w:bidi="en-US"/>
              </w:rPr>
            </w:pPr>
            <w:r>
              <w:t>Higher risk individuals</w:t>
            </w:r>
          </w:p>
        </w:tc>
        <w:tc>
          <w:tcPr>
            <w:tcW w:w="0" w:type="auto"/>
            <w:tcBorders>
              <w:bottom w:val="single" w:sz="4" w:space="0" w:color="auto"/>
            </w:tcBorders>
            <w:shd w:val="clear" w:color="auto" w:fill="FFFFFF"/>
            <w:tcMar>
              <w:top w:w="0" w:type="dxa"/>
              <w:left w:w="108" w:type="dxa"/>
              <w:bottom w:w="0" w:type="dxa"/>
              <w:right w:w="108" w:type="dxa"/>
            </w:tcMar>
            <w:hideMark/>
          </w:tcPr>
          <w:p w14:paraId="6E4E2FBE" w14:textId="77777777" w:rsidR="00352F37" w:rsidRDefault="00352F37" w:rsidP="007667A1">
            <w:pPr>
              <w:spacing w:after="200" w:line="276" w:lineRule="auto"/>
              <w:rPr>
                <w:rFonts w:asciiTheme="minorHAnsi" w:eastAsia="MS Mincho" w:hAnsiTheme="minorHAnsi" w:cstheme="minorBidi"/>
                <w:szCs w:val="22"/>
                <w:lang w:bidi="en-US"/>
              </w:rPr>
            </w:pPr>
            <w:r>
              <w:t>Customers which are classified as higher risk including persons previously reported by the insurer/intermediary to the FIUs or who operate in a higher risk industry or profession from an AML/CFT perspective This includes persons active in charities and non-profit organization, precious metals and stone dealers, money services businesses, cash intensive businesses such as "cash for gold" or casinos, arms dealers.  E.g., insurers could be required by local insurance laws and regulations to maintain a business relationship or provide insurance services even to a person designated and/or reported to local FIU – in those cases the insurer should act in close collaboration with the local authorities.</w:t>
            </w:r>
          </w:p>
        </w:tc>
      </w:tr>
      <w:tr w:rsidR="00352F37" w14:paraId="6E4E2FC3" w14:textId="77777777" w:rsidTr="00547963">
        <w:trPr>
          <w:jc w:val="center"/>
        </w:trPr>
        <w:tc>
          <w:tcPr>
            <w:tcW w:w="0" w:type="auto"/>
            <w:vMerge w:val="restart"/>
            <w:tcBorders>
              <w:top w:val="single" w:sz="4" w:space="0" w:color="auto"/>
              <w:bottom w:val="nil"/>
            </w:tcBorders>
            <w:shd w:val="clear" w:color="auto" w:fill="EDF0F7"/>
            <w:tcMar>
              <w:top w:w="0" w:type="dxa"/>
              <w:left w:w="108" w:type="dxa"/>
              <w:bottom w:w="0" w:type="dxa"/>
              <w:right w:w="108" w:type="dxa"/>
            </w:tcMar>
            <w:hideMark/>
          </w:tcPr>
          <w:p w14:paraId="6E4E2FC0" w14:textId="77777777" w:rsidR="00352F37" w:rsidRPr="000B67E9" w:rsidRDefault="00352F37" w:rsidP="000B67E9">
            <w:pPr>
              <w:spacing w:after="200" w:line="276" w:lineRule="auto"/>
              <w:jc w:val="left"/>
              <w:rPr>
                <w:rFonts w:asciiTheme="minorHAnsi" w:eastAsia="MS Mincho" w:hAnsiTheme="minorHAnsi" w:cstheme="minorBidi"/>
                <w:b/>
                <w:szCs w:val="22"/>
                <w:lang w:bidi="en-US"/>
              </w:rPr>
            </w:pPr>
            <w:r w:rsidRPr="000B67E9">
              <w:rPr>
                <w:b/>
              </w:rPr>
              <w:t>Products and Services</w:t>
            </w:r>
          </w:p>
        </w:tc>
        <w:tc>
          <w:tcPr>
            <w:tcW w:w="0" w:type="auto"/>
            <w:tcBorders>
              <w:top w:val="single" w:sz="4" w:space="0" w:color="auto"/>
              <w:bottom w:val="nil"/>
            </w:tcBorders>
            <w:shd w:val="clear" w:color="auto" w:fill="EDF0F7"/>
            <w:tcMar>
              <w:top w:w="0" w:type="dxa"/>
              <w:left w:w="108" w:type="dxa"/>
              <w:bottom w:w="0" w:type="dxa"/>
              <w:right w:w="108" w:type="dxa"/>
            </w:tcMar>
            <w:hideMark/>
          </w:tcPr>
          <w:p w14:paraId="6E4E2FC1" w14:textId="77777777" w:rsidR="00352F37" w:rsidRDefault="00352F37" w:rsidP="007667A1">
            <w:pPr>
              <w:spacing w:after="200" w:line="276" w:lineRule="auto"/>
              <w:rPr>
                <w:rFonts w:asciiTheme="minorHAnsi" w:eastAsia="MS Mincho" w:hAnsiTheme="minorHAnsi" w:cstheme="minorBidi"/>
                <w:szCs w:val="22"/>
                <w:lang w:bidi="en-US"/>
              </w:rPr>
            </w:pPr>
            <w:r>
              <w:t>Products associated with high risk payment</w:t>
            </w:r>
          </w:p>
        </w:tc>
        <w:tc>
          <w:tcPr>
            <w:tcW w:w="0" w:type="auto"/>
            <w:tcBorders>
              <w:top w:val="single" w:sz="4" w:space="0" w:color="auto"/>
              <w:bottom w:val="nil"/>
            </w:tcBorders>
            <w:shd w:val="clear" w:color="auto" w:fill="EDF0F7"/>
            <w:tcMar>
              <w:top w:w="0" w:type="dxa"/>
              <w:left w:w="108" w:type="dxa"/>
              <w:bottom w:w="0" w:type="dxa"/>
              <w:right w:w="108" w:type="dxa"/>
            </w:tcMar>
            <w:hideMark/>
          </w:tcPr>
          <w:p w14:paraId="6E4E2FC2" w14:textId="77777777" w:rsidR="00352F37" w:rsidRDefault="00352F37" w:rsidP="007667A1">
            <w:pPr>
              <w:spacing w:after="200" w:line="276" w:lineRule="auto"/>
              <w:rPr>
                <w:rFonts w:asciiTheme="minorHAnsi" w:eastAsia="MS Mincho" w:hAnsiTheme="minorHAnsi" w:cstheme="minorBidi"/>
                <w:szCs w:val="22"/>
                <w:lang w:bidi="en-US"/>
              </w:rPr>
            </w:pPr>
            <w:r>
              <w:t>Product that may inherently favour international customers, cash, third parties and complex payments or have features that allow for pay-outs not limited to pre-defined events (e.g., international life insurance products designed for expatriates, life insurance policy allowing third party payments).</w:t>
            </w:r>
          </w:p>
        </w:tc>
      </w:tr>
      <w:tr w:rsidR="00352F37" w14:paraId="6E4E2FC7" w14:textId="77777777" w:rsidTr="00547963">
        <w:trPr>
          <w:jc w:val="center"/>
        </w:trPr>
        <w:tc>
          <w:tcPr>
            <w:tcW w:w="0" w:type="auto"/>
            <w:vMerge/>
            <w:tcBorders>
              <w:top w:val="nil"/>
            </w:tcBorders>
            <w:vAlign w:val="center"/>
            <w:hideMark/>
          </w:tcPr>
          <w:p w14:paraId="6E4E2FC4" w14:textId="77777777" w:rsidR="00352F37" w:rsidRDefault="00352F37" w:rsidP="007667A1">
            <w:pPr>
              <w:rPr>
                <w:rFonts w:asciiTheme="minorHAnsi" w:eastAsia="MS Mincho" w:hAnsiTheme="minorHAnsi" w:cstheme="minorBidi"/>
                <w:szCs w:val="22"/>
                <w:lang w:bidi="en-US"/>
              </w:rPr>
            </w:pPr>
          </w:p>
        </w:tc>
        <w:tc>
          <w:tcPr>
            <w:tcW w:w="0" w:type="auto"/>
            <w:tcBorders>
              <w:top w:val="nil"/>
            </w:tcBorders>
            <w:shd w:val="clear" w:color="auto" w:fill="FFFFFF"/>
            <w:tcMar>
              <w:top w:w="0" w:type="dxa"/>
              <w:left w:w="108" w:type="dxa"/>
              <w:bottom w:w="0" w:type="dxa"/>
              <w:right w:w="108" w:type="dxa"/>
            </w:tcMar>
            <w:hideMark/>
          </w:tcPr>
          <w:p w14:paraId="6E4E2FC5" w14:textId="77777777" w:rsidR="00352F37" w:rsidRDefault="00352F37" w:rsidP="007667A1">
            <w:pPr>
              <w:spacing w:after="200" w:line="276" w:lineRule="auto"/>
              <w:rPr>
                <w:rFonts w:asciiTheme="minorHAnsi" w:eastAsia="MS Mincho" w:hAnsiTheme="minorHAnsi" w:cstheme="minorBidi"/>
                <w:szCs w:val="22"/>
                <w:lang w:bidi="en-US"/>
              </w:rPr>
            </w:pPr>
            <w:r>
              <w:t xml:space="preserve">Product which accumulate large funds, transact large sums, or allow high amount withdrawals </w:t>
            </w:r>
          </w:p>
        </w:tc>
        <w:tc>
          <w:tcPr>
            <w:tcW w:w="0" w:type="auto"/>
            <w:tcBorders>
              <w:top w:val="nil"/>
            </w:tcBorders>
            <w:shd w:val="clear" w:color="auto" w:fill="FFFFFF"/>
            <w:tcMar>
              <w:top w:w="0" w:type="dxa"/>
              <w:left w:w="108" w:type="dxa"/>
              <w:bottom w:w="0" w:type="dxa"/>
              <w:right w:w="108" w:type="dxa"/>
            </w:tcMar>
            <w:hideMark/>
          </w:tcPr>
          <w:p w14:paraId="6E4E2FC6" w14:textId="77777777" w:rsidR="00352F37" w:rsidRDefault="00352F37" w:rsidP="007667A1">
            <w:pPr>
              <w:spacing w:after="200" w:line="276" w:lineRule="auto"/>
              <w:rPr>
                <w:rFonts w:asciiTheme="minorHAnsi" w:eastAsia="MS Mincho" w:hAnsiTheme="minorHAnsi" w:cstheme="minorBidi"/>
                <w:szCs w:val="22"/>
                <w:lang w:bidi="en-US"/>
              </w:rPr>
            </w:pPr>
            <w:r>
              <w:t>Product that are designed for the accumulation of large funds and/or allow large transaction of money (e.g., insurance wrapper products).</w:t>
            </w:r>
          </w:p>
        </w:tc>
      </w:tr>
      <w:tr w:rsidR="00352F37" w14:paraId="6E4E2FCB" w14:textId="77777777" w:rsidTr="007667A1">
        <w:trPr>
          <w:jc w:val="center"/>
        </w:trPr>
        <w:tc>
          <w:tcPr>
            <w:tcW w:w="0" w:type="auto"/>
            <w:vMerge/>
            <w:vAlign w:val="center"/>
            <w:hideMark/>
          </w:tcPr>
          <w:p w14:paraId="6E4E2FC8" w14:textId="77777777" w:rsidR="00352F37" w:rsidRDefault="00352F37" w:rsidP="007667A1">
            <w:pPr>
              <w:rPr>
                <w:rFonts w:asciiTheme="minorHAnsi" w:eastAsia="MS Mincho" w:hAnsiTheme="minorHAnsi" w:cstheme="minorBidi"/>
                <w:szCs w:val="22"/>
                <w:lang w:bidi="en-US"/>
              </w:rPr>
            </w:pPr>
          </w:p>
        </w:tc>
        <w:tc>
          <w:tcPr>
            <w:tcW w:w="0" w:type="auto"/>
            <w:shd w:val="clear" w:color="auto" w:fill="EDF0F7"/>
            <w:tcMar>
              <w:top w:w="0" w:type="dxa"/>
              <w:left w:w="108" w:type="dxa"/>
              <w:bottom w:w="0" w:type="dxa"/>
              <w:right w:w="108" w:type="dxa"/>
            </w:tcMar>
            <w:hideMark/>
          </w:tcPr>
          <w:p w14:paraId="6E4E2FC9" w14:textId="77777777" w:rsidR="00352F37" w:rsidRDefault="00352F37" w:rsidP="007667A1">
            <w:pPr>
              <w:spacing w:after="200" w:line="276" w:lineRule="auto"/>
              <w:rPr>
                <w:rFonts w:asciiTheme="minorHAnsi" w:eastAsia="MS Mincho" w:hAnsiTheme="minorHAnsi" w:cstheme="minorBidi"/>
                <w:szCs w:val="22"/>
                <w:lang w:bidi="en-US"/>
              </w:rPr>
            </w:pPr>
            <w:r>
              <w:t>Products which favour anonymity or are easily transferable</w:t>
            </w:r>
          </w:p>
        </w:tc>
        <w:tc>
          <w:tcPr>
            <w:tcW w:w="0" w:type="auto"/>
            <w:shd w:val="clear" w:color="auto" w:fill="EDF0F7"/>
            <w:tcMar>
              <w:top w:w="0" w:type="dxa"/>
              <w:left w:w="108" w:type="dxa"/>
              <w:bottom w:w="0" w:type="dxa"/>
              <w:right w:w="108" w:type="dxa"/>
            </w:tcMar>
            <w:hideMark/>
          </w:tcPr>
          <w:p w14:paraId="6E4E2FCA" w14:textId="77777777" w:rsidR="00352F37" w:rsidRDefault="00352F37" w:rsidP="007667A1">
            <w:pPr>
              <w:spacing w:after="200" w:line="276" w:lineRule="auto"/>
              <w:rPr>
                <w:rFonts w:asciiTheme="minorHAnsi" w:eastAsia="MS Mincho" w:hAnsiTheme="minorHAnsi" w:cstheme="minorBidi"/>
                <w:szCs w:val="22"/>
                <w:lang w:bidi="en-US"/>
              </w:rPr>
            </w:pPr>
            <w:r>
              <w:t xml:space="preserve">Products or services that may inherently favour anonymity, or products that can readily cross international borders, or are easily transferred, (e.g., life insurance policy issued to the bearer or negotiated on </w:t>
            </w:r>
            <w:r>
              <w:lastRenderedPageBreak/>
              <w:t>secondary market).</w:t>
            </w:r>
          </w:p>
        </w:tc>
      </w:tr>
      <w:tr w:rsidR="00352F37" w14:paraId="6E4E2FCF" w14:textId="77777777" w:rsidTr="007667A1">
        <w:trPr>
          <w:jc w:val="center"/>
        </w:trPr>
        <w:tc>
          <w:tcPr>
            <w:tcW w:w="0" w:type="auto"/>
            <w:vMerge/>
            <w:vAlign w:val="center"/>
            <w:hideMark/>
          </w:tcPr>
          <w:p w14:paraId="6E4E2FCC" w14:textId="77777777" w:rsidR="00352F37" w:rsidRDefault="00352F37" w:rsidP="007667A1">
            <w:pPr>
              <w:rPr>
                <w:rFonts w:asciiTheme="minorHAnsi" w:eastAsia="MS Mincho" w:hAnsiTheme="minorHAnsi" w:cstheme="minorBidi"/>
                <w:szCs w:val="22"/>
                <w:lang w:bidi="en-US"/>
              </w:rPr>
            </w:pPr>
          </w:p>
        </w:tc>
        <w:tc>
          <w:tcPr>
            <w:tcW w:w="0" w:type="auto"/>
            <w:shd w:val="clear" w:color="auto" w:fill="FFFFFF"/>
            <w:tcMar>
              <w:top w:w="0" w:type="dxa"/>
              <w:left w:w="108" w:type="dxa"/>
              <w:bottom w:w="0" w:type="dxa"/>
              <w:right w:w="108" w:type="dxa"/>
            </w:tcMar>
            <w:hideMark/>
          </w:tcPr>
          <w:p w14:paraId="6E4E2FCD" w14:textId="77777777" w:rsidR="00352F37" w:rsidRDefault="00352F37" w:rsidP="007667A1">
            <w:pPr>
              <w:spacing w:after="200" w:line="276" w:lineRule="auto"/>
              <w:rPr>
                <w:rFonts w:asciiTheme="minorHAnsi" w:eastAsia="MS Mincho" w:hAnsiTheme="minorHAnsi" w:cstheme="minorBidi"/>
                <w:szCs w:val="22"/>
                <w:lang w:bidi="en-US"/>
              </w:rPr>
            </w:pPr>
            <w:r>
              <w:t>Products with allows early surrender</w:t>
            </w:r>
          </w:p>
        </w:tc>
        <w:tc>
          <w:tcPr>
            <w:tcW w:w="0" w:type="auto"/>
            <w:shd w:val="clear" w:color="auto" w:fill="FFFFFF"/>
            <w:tcMar>
              <w:top w:w="0" w:type="dxa"/>
              <w:left w:w="108" w:type="dxa"/>
              <w:bottom w:w="0" w:type="dxa"/>
              <w:right w:w="108" w:type="dxa"/>
            </w:tcMar>
            <w:hideMark/>
          </w:tcPr>
          <w:p w14:paraId="6E4E2FCE" w14:textId="77777777" w:rsidR="00352F37" w:rsidRDefault="00352F37" w:rsidP="007667A1">
            <w:pPr>
              <w:spacing w:after="200" w:line="276" w:lineRule="auto"/>
              <w:rPr>
                <w:rFonts w:asciiTheme="minorHAnsi" w:eastAsia="MS Mincho" w:hAnsiTheme="minorHAnsi" w:cstheme="minorBidi"/>
                <w:szCs w:val="22"/>
                <w:lang w:bidi="en-US"/>
              </w:rPr>
            </w:pPr>
            <w:r>
              <w:t>Products which allow for early surrender and have a surrender value</w:t>
            </w:r>
          </w:p>
        </w:tc>
      </w:tr>
      <w:tr w:rsidR="00352F37" w14:paraId="6E4E2FD3" w14:textId="77777777" w:rsidTr="008244C6">
        <w:trPr>
          <w:jc w:val="center"/>
        </w:trPr>
        <w:tc>
          <w:tcPr>
            <w:tcW w:w="0" w:type="auto"/>
            <w:vMerge/>
            <w:tcBorders>
              <w:bottom w:val="single" w:sz="4" w:space="0" w:color="auto"/>
            </w:tcBorders>
            <w:vAlign w:val="center"/>
            <w:hideMark/>
          </w:tcPr>
          <w:p w14:paraId="6E4E2FD0" w14:textId="77777777" w:rsidR="00352F37" w:rsidRDefault="00352F37" w:rsidP="007667A1">
            <w:pPr>
              <w:rPr>
                <w:rFonts w:asciiTheme="minorHAnsi" w:eastAsia="MS Mincho" w:hAnsiTheme="minorHAnsi" w:cstheme="minorBidi"/>
                <w:szCs w:val="22"/>
                <w:lang w:bidi="en-US"/>
              </w:rPr>
            </w:pPr>
          </w:p>
        </w:tc>
        <w:tc>
          <w:tcPr>
            <w:tcW w:w="0" w:type="auto"/>
            <w:tcBorders>
              <w:bottom w:val="single" w:sz="4" w:space="0" w:color="auto"/>
            </w:tcBorders>
            <w:shd w:val="clear" w:color="auto" w:fill="EDF0F7"/>
            <w:tcMar>
              <w:top w:w="0" w:type="dxa"/>
              <w:left w:w="108" w:type="dxa"/>
              <w:bottom w:w="0" w:type="dxa"/>
              <w:right w:w="108" w:type="dxa"/>
            </w:tcMar>
            <w:hideMark/>
          </w:tcPr>
          <w:p w14:paraId="6E4E2FD1" w14:textId="77777777" w:rsidR="00352F37" w:rsidRDefault="00352F37" w:rsidP="007667A1">
            <w:pPr>
              <w:spacing w:after="200" w:line="276" w:lineRule="auto"/>
              <w:rPr>
                <w:rFonts w:asciiTheme="minorHAnsi" w:eastAsia="MS Mincho" w:hAnsiTheme="minorHAnsi" w:cstheme="minorBidi"/>
                <w:szCs w:val="22"/>
                <w:lang w:bidi="en-US"/>
              </w:rPr>
            </w:pPr>
            <w:r>
              <w:t>Products with low value policy benefits and simple product features</w:t>
            </w:r>
          </w:p>
        </w:tc>
        <w:tc>
          <w:tcPr>
            <w:tcW w:w="0" w:type="auto"/>
            <w:tcBorders>
              <w:bottom w:val="single" w:sz="4" w:space="0" w:color="auto"/>
            </w:tcBorders>
            <w:shd w:val="clear" w:color="auto" w:fill="EDF0F7"/>
            <w:tcMar>
              <w:top w:w="0" w:type="dxa"/>
              <w:left w:w="108" w:type="dxa"/>
              <w:bottom w:w="0" w:type="dxa"/>
              <w:right w:w="108" w:type="dxa"/>
            </w:tcMar>
            <w:hideMark/>
          </w:tcPr>
          <w:p w14:paraId="6E4E2FD2" w14:textId="77777777" w:rsidR="00352F37" w:rsidRDefault="00352F37" w:rsidP="007667A1">
            <w:pPr>
              <w:spacing w:after="200" w:line="276" w:lineRule="auto"/>
              <w:rPr>
                <w:rFonts w:asciiTheme="minorHAnsi" w:eastAsia="MS Mincho" w:hAnsiTheme="minorHAnsi" w:cstheme="minorBidi"/>
                <w:szCs w:val="22"/>
                <w:lang w:bidi="en-US"/>
              </w:rPr>
            </w:pPr>
            <w:r>
              <w:t xml:space="preserve">Products have  simple features and are low in value may carry lower ML/TF risks, </w:t>
            </w:r>
          </w:p>
        </w:tc>
      </w:tr>
      <w:tr w:rsidR="00352F37" w14:paraId="6E4E2FD7" w14:textId="77777777" w:rsidTr="008244C6">
        <w:trPr>
          <w:jc w:val="center"/>
        </w:trPr>
        <w:tc>
          <w:tcPr>
            <w:tcW w:w="0" w:type="auto"/>
            <w:vMerge w:val="restart"/>
            <w:tcBorders>
              <w:top w:val="single" w:sz="4" w:space="0" w:color="auto"/>
              <w:bottom w:val="nil"/>
            </w:tcBorders>
            <w:shd w:val="clear" w:color="auto" w:fill="FFFFFF"/>
            <w:tcMar>
              <w:top w:w="0" w:type="dxa"/>
              <w:left w:w="108" w:type="dxa"/>
              <w:bottom w:w="0" w:type="dxa"/>
              <w:right w:w="108" w:type="dxa"/>
            </w:tcMar>
            <w:hideMark/>
          </w:tcPr>
          <w:p w14:paraId="6E4E2FD4" w14:textId="77777777" w:rsidR="00352F37" w:rsidRPr="000B67E9" w:rsidRDefault="00352F37" w:rsidP="000B67E9">
            <w:pPr>
              <w:spacing w:after="200" w:line="276" w:lineRule="auto"/>
              <w:jc w:val="left"/>
              <w:rPr>
                <w:rFonts w:asciiTheme="minorHAnsi" w:eastAsia="MS Mincho" w:hAnsiTheme="minorHAnsi" w:cstheme="minorBidi"/>
                <w:b/>
                <w:szCs w:val="22"/>
                <w:lang w:bidi="en-US"/>
              </w:rPr>
            </w:pPr>
            <w:r w:rsidRPr="000B67E9">
              <w:rPr>
                <w:b/>
              </w:rPr>
              <w:t>Distribution channels</w:t>
            </w:r>
          </w:p>
        </w:tc>
        <w:tc>
          <w:tcPr>
            <w:tcW w:w="0" w:type="auto"/>
            <w:tcBorders>
              <w:top w:val="single" w:sz="4" w:space="0" w:color="auto"/>
              <w:bottom w:val="nil"/>
            </w:tcBorders>
            <w:shd w:val="clear" w:color="auto" w:fill="FFFFFF"/>
            <w:tcMar>
              <w:top w:w="0" w:type="dxa"/>
              <w:left w:w="108" w:type="dxa"/>
              <w:bottom w:w="0" w:type="dxa"/>
              <w:right w:w="108" w:type="dxa"/>
            </w:tcMar>
            <w:hideMark/>
          </w:tcPr>
          <w:p w14:paraId="6E4E2FD5" w14:textId="77777777" w:rsidR="00352F37" w:rsidRDefault="00352F37" w:rsidP="007667A1">
            <w:pPr>
              <w:spacing w:after="200" w:line="276" w:lineRule="auto"/>
              <w:rPr>
                <w:rFonts w:asciiTheme="minorHAnsi" w:eastAsia="MS Mincho" w:hAnsiTheme="minorHAnsi" w:cstheme="minorBidi"/>
                <w:szCs w:val="22"/>
                <w:lang w:bidi="en-US"/>
              </w:rPr>
            </w:pPr>
            <w:r>
              <w:t>Non face to face sales channels</w:t>
            </w:r>
          </w:p>
        </w:tc>
        <w:tc>
          <w:tcPr>
            <w:tcW w:w="0" w:type="auto"/>
            <w:tcBorders>
              <w:top w:val="single" w:sz="4" w:space="0" w:color="auto"/>
              <w:bottom w:val="nil"/>
            </w:tcBorders>
            <w:shd w:val="clear" w:color="auto" w:fill="FFFFFF"/>
            <w:tcMar>
              <w:top w:w="0" w:type="dxa"/>
              <w:left w:w="108" w:type="dxa"/>
              <w:bottom w:w="0" w:type="dxa"/>
              <w:right w:w="108" w:type="dxa"/>
            </w:tcMar>
            <w:hideMark/>
          </w:tcPr>
          <w:p w14:paraId="6E4E2FD6" w14:textId="77777777" w:rsidR="00352F37" w:rsidRDefault="00352F37" w:rsidP="007667A1">
            <w:pPr>
              <w:spacing w:after="200" w:line="276" w:lineRule="auto"/>
              <w:rPr>
                <w:rFonts w:asciiTheme="minorHAnsi" w:eastAsia="MS Mincho" w:hAnsiTheme="minorHAnsi" w:cstheme="minorBidi"/>
                <w:szCs w:val="22"/>
                <w:lang w:bidi="en-US"/>
              </w:rPr>
            </w:pPr>
            <w:r>
              <w:t>Channels which do not provide for a physical meeting between the customer and an employee or intermediary, and is not supported by other mitigation measures like identification performed by an obliged or authorized person such as a public notary (e.g., life insurance policy sold on-line).</w:t>
            </w:r>
          </w:p>
        </w:tc>
      </w:tr>
      <w:tr w:rsidR="00352F37" w14:paraId="6E4E2FDB" w14:textId="77777777" w:rsidTr="008244C6">
        <w:trPr>
          <w:jc w:val="center"/>
        </w:trPr>
        <w:tc>
          <w:tcPr>
            <w:tcW w:w="0" w:type="auto"/>
            <w:vMerge/>
            <w:tcBorders>
              <w:top w:val="nil"/>
            </w:tcBorders>
            <w:vAlign w:val="center"/>
            <w:hideMark/>
          </w:tcPr>
          <w:p w14:paraId="6E4E2FD8" w14:textId="77777777" w:rsidR="00352F37" w:rsidRDefault="00352F37" w:rsidP="007667A1">
            <w:pPr>
              <w:rPr>
                <w:rFonts w:asciiTheme="minorHAnsi" w:eastAsia="MS Mincho" w:hAnsiTheme="minorHAnsi" w:cstheme="minorBidi"/>
                <w:szCs w:val="22"/>
                <w:lang w:bidi="en-US"/>
              </w:rPr>
            </w:pPr>
          </w:p>
        </w:tc>
        <w:tc>
          <w:tcPr>
            <w:tcW w:w="0" w:type="auto"/>
            <w:tcBorders>
              <w:top w:val="nil"/>
            </w:tcBorders>
            <w:shd w:val="clear" w:color="auto" w:fill="EDF0F7"/>
            <w:tcMar>
              <w:top w:w="0" w:type="dxa"/>
              <w:left w:w="108" w:type="dxa"/>
              <w:bottom w:w="0" w:type="dxa"/>
              <w:right w:w="108" w:type="dxa"/>
            </w:tcMar>
            <w:hideMark/>
          </w:tcPr>
          <w:p w14:paraId="6E4E2FD9" w14:textId="77777777" w:rsidR="00352F37" w:rsidRDefault="00352F37" w:rsidP="007667A1">
            <w:pPr>
              <w:spacing w:after="200" w:line="276" w:lineRule="auto"/>
              <w:rPr>
                <w:rFonts w:asciiTheme="minorHAnsi" w:eastAsia="MS Mincho" w:hAnsiTheme="minorHAnsi" w:cstheme="minorBidi"/>
                <w:szCs w:val="22"/>
                <w:lang w:bidi="en-US"/>
              </w:rPr>
            </w:pPr>
            <w:r>
              <w:t>Reliance and outsourcing</w:t>
            </w:r>
          </w:p>
        </w:tc>
        <w:tc>
          <w:tcPr>
            <w:tcW w:w="0" w:type="auto"/>
            <w:tcBorders>
              <w:top w:val="nil"/>
            </w:tcBorders>
            <w:shd w:val="clear" w:color="auto" w:fill="EDF0F7"/>
            <w:tcMar>
              <w:top w:w="0" w:type="dxa"/>
              <w:left w:w="108" w:type="dxa"/>
              <w:bottom w:w="0" w:type="dxa"/>
              <w:right w:w="108" w:type="dxa"/>
            </w:tcMar>
            <w:hideMark/>
          </w:tcPr>
          <w:p w14:paraId="6E4E2FDA" w14:textId="77777777" w:rsidR="00352F37" w:rsidRDefault="00352F37" w:rsidP="007667A1">
            <w:pPr>
              <w:spacing w:after="200" w:line="276" w:lineRule="auto"/>
              <w:rPr>
                <w:rFonts w:asciiTheme="minorHAnsi" w:eastAsia="MS Mincho" w:hAnsiTheme="minorHAnsi" w:cstheme="minorBidi"/>
                <w:szCs w:val="22"/>
                <w:lang w:bidi="en-US"/>
              </w:rPr>
            </w:pPr>
            <w:r>
              <w:t>Reliance on intermediaries and /or outsourcing to third parties which are not subjected to the same AML/CFT obligations as the life insurer or is not well known to the life insurer (e.g., life insurance policy sold by small independent intermediaries or by third parties which may have less sophisticated controls in place).</w:t>
            </w:r>
          </w:p>
        </w:tc>
      </w:tr>
      <w:tr w:rsidR="00352F37" w14:paraId="6E4E2FDF" w14:textId="77777777" w:rsidTr="00E80D35">
        <w:trPr>
          <w:jc w:val="center"/>
        </w:trPr>
        <w:tc>
          <w:tcPr>
            <w:tcW w:w="0" w:type="auto"/>
            <w:vMerge/>
            <w:tcBorders>
              <w:bottom w:val="single" w:sz="2" w:space="0" w:color="000000"/>
            </w:tcBorders>
            <w:vAlign w:val="center"/>
            <w:hideMark/>
          </w:tcPr>
          <w:p w14:paraId="6E4E2FDC" w14:textId="77777777" w:rsidR="00352F37" w:rsidRDefault="00352F37" w:rsidP="007667A1">
            <w:pPr>
              <w:rPr>
                <w:rFonts w:asciiTheme="minorHAnsi" w:eastAsia="MS Mincho" w:hAnsiTheme="minorHAnsi" w:cstheme="minorBidi"/>
                <w:szCs w:val="22"/>
                <w:lang w:bidi="en-US"/>
              </w:rPr>
            </w:pPr>
          </w:p>
        </w:tc>
        <w:tc>
          <w:tcPr>
            <w:tcW w:w="0" w:type="auto"/>
            <w:tcBorders>
              <w:bottom w:val="single" w:sz="2" w:space="0" w:color="000000"/>
            </w:tcBorders>
            <w:shd w:val="clear" w:color="auto" w:fill="FFFFFF"/>
            <w:tcMar>
              <w:top w:w="0" w:type="dxa"/>
              <w:left w:w="108" w:type="dxa"/>
              <w:bottom w:w="0" w:type="dxa"/>
              <w:right w:w="108" w:type="dxa"/>
            </w:tcMar>
            <w:hideMark/>
          </w:tcPr>
          <w:p w14:paraId="6E4E2FDD" w14:textId="77777777" w:rsidR="00352F37" w:rsidRDefault="00352F37" w:rsidP="007667A1">
            <w:pPr>
              <w:spacing w:after="200" w:line="276" w:lineRule="auto"/>
              <w:rPr>
                <w:rFonts w:asciiTheme="minorHAnsi" w:eastAsia="MS Mincho" w:hAnsiTheme="minorHAnsi" w:cstheme="minorBidi"/>
                <w:szCs w:val="22"/>
                <w:lang w:bidi="en-US"/>
              </w:rPr>
            </w:pPr>
            <w:r>
              <w:t>Management of the customers payments</w:t>
            </w:r>
          </w:p>
        </w:tc>
        <w:tc>
          <w:tcPr>
            <w:tcW w:w="0" w:type="auto"/>
            <w:tcBorders>
              <w:bottom w:val="single" w:sz="2" w:space="0" w:color="000000"/>
            </w:tcBorders>
            <w:shd w:val="clear" w:color="auto" w:fill="FFFFFF"/>
            <w:tcMar>
              <w:top w:w="0" w:type="dxa"/>
              <w:left w:w="108" w:type="dxa"/>
              <w:bottom w:w="0" w:type="dxa"/>
              <w:right w:w="108" w:type="dxa"/>
            </w:tcMar>
            <w:hideMark/>
          </w:tcPr>
          <w:p w14:paraId="6E4E2FDE" w14:textId="77777777" w:rsidR="00352F37" w:rsidRDefault="00352F37" w:rsidP="007667A1">
            <w:pPr>
              <w:spacing w:after="200" w:line="276" w:lineRule="auto"/>
              <w:rPr>
                <w:rFonts w:asciiTheme="minorHAnsi" w:eastAsia="MS Mincho" w:hAnsiTheme="minorHAnsi" w:cstheme="minorBidi"/>
                <w:szCs w:val="22"/>
                <w:lang w:bidi="en-US"/>
              </w:rPr>
            </w:pPr>
            <w:r>
              <w:t xml:space="preserve">Intermediaries </w:t>
            </w:r>
            <w:proofErr w:type="gramStart"/>
            <w:r>
              <w:t>which</w:t>
            </w:r>
            <w:proofErr w:type="gramEnd"/>
            <w:r>
              <w:t xml:space="preserve"> manage the investments and the flow of funds on behalf of the customer on their accounts (e.g., life insurance policy sold by intermediaries accepting cash payments and/or payments on their own accounts).</w:t>
            </w:r>
          </w:p>
        </w:tc>
      </w:tr>
      <w:tr w:rsidR="00352F37" w14:paraId="6E4E2FE4" w14:textId="77777777" w:rsidTr="00E80D35">
        <w:trPr>
          <w:jc w:val="center"/>
        </w:trPr>
        <w:tc>
          <w:tcPr>
            <w:tcW w:w="0" w:type="auto"/>
            <w:vMerge w:val="restart"/>
            <w:tcBorders>
              <w:top w:val="single" w:sz="2" w:space="0" w:color="000000"/>
              <w:bottom w:val="nil"/>
            </w:tcBorders>
            <w:shd w:val="clear" w:color="auto" w:fill="EDF0F7"/>
            <w:tcMar>
              <w:top w:w="0" w:type="dxa"/>
              <w:left w:w="108" w:type="dxa"/>
              <w:bottom w:w="0" w:type="dxa"/>
              <w:right w:w="108" w:type="dxa"/>
            </w:tcMar>
            <w:hideMark/>
          </w:tcPr>
          <w:p w14:paraId="6E4E2FE1" w14:textId="7D7D9D39" w:rsidR="00352F37" w:rsidRPr="000B67E9" w:rsidRDefault="00352F37" w:rsidP="000B67E9">
            <w:pPr>
              <w:pStyle w:val="TableRow"/>
              <w:rPr>
                <w:rFonts w:ascii="Times New Roman" w:eastAsia="MS Mincho" w:hAnsi="Times New Roman" w:cs="Times New Roman"/>
                <w:b/>
                <w:sz w:val="22"/>
                <w:szCs w:val="22"/>
                <w:lang w:bidi="en-US"/>
              </w:rPr>
            </w:pPr>
            <w:r w:rsidRPr="000B67E9">
              <w:rPr>
                <w:rFonts w:ascii="Times New Roman" w:eastAsiaTheme="minorHAnsi" w:hAnsi="Times New Roman" w:cs="Times New Roman"/>
                <w:b/>
                <w:sz w:val="22"/>
                <w:szCs w:val="20"/>
              </w:rPr>
              <w:br w:type="page"/>
            </w:r>
            <w:r w:rsidRPr="000B67E9">
              <w:rPr>
                <w:rFonts w:ascii="Times New Roman" w:hAnsi="Times New Roman" w:cs="Times New Roman"/>
                <w:b/>
                <w:sz w:val="22"/>
                <w:szCs w:val="22"/>
              </w:rPr>
              <w:t>Geography</w:t>
            </w:r>
          </w:p>
        </w:tc>
        <w:tc>
          <w:tcPr>
            <w:tcW w:w="0" w:type="auto"/>
            <w:tcBorders>
              <w:top w:val="single" w:sz="2" w:space="0" w:color="000000"/>
              <w:bottom w:val="nil"/>
            </w:tcBorders>
            <w:shd w:val="clear" w:color="auto" w:fill="EDF0F7"/>
            <w:tcMar>
              <w:top w:w="0" w:type="dxa"/>
              <w:left w:w="108" w:type="dxa"/>
              <w:bottom w:w="0" w:type="dxa"/>
              <w:right w:w="108" w:type="dxa"/>
            </w:tcMar>
            <w:hideMark/>
          </w:tcPr>
          <w:p w14:paraId="6E4E2FE2" w14:textId="77777777" w:rsidR="00352F37" w:rsidRDefault="00352F37" w:rsidP="007667A1">
            <w:pPr>
              <w:spacing w:after="200" w:line="276" w:lineRule="auto"/>
              <w:rPr>
                <w:rFonts w:asciiTheme="minorHAnsi" w:eastAsia="MS Mincho" w:hAnsiTheme="minorHAnsi" w:cstheme="minorBidi"/>
                <w:szCs w:val="22"/>
                <w:lang w:bidi="en-US"/>
              </w:rPr>
            </w:pPr>
            <w:r>
              <w:t xml:space="preserve">Products and services, </w:t>
            </w:r>
          </w:p>
        </w:tc>
        <w:tc>
          <w:tcPr>
            <w:tcW w:w="0" w:type="auto"/>
            <w:tcBorders>
              <w:top w:val="single" w:sz="2" w:space="0" w:color="000000"/>
              <w:bottom w:val="nil"/>
            </w:tcBorders>
            <w:shd w:val="clear" w:color="auto" w:fill="EDF0F7"/>
            <w:tcMar>
              <w:top w:w="0" w:type="dxa"/>
              <w:left w:w="108" w:type="dxa"/>
              <w:bottom w:w="0" w:type="dxa"/>
              <w:right w:w="108" w:type="dxa"/>
            </w:tcMar>
            <w:hideMark/>
          </w:tcPr>
          <w:p w14:paraId="6E4E2FE3" w14:textId="77777777" w:rsidR="00352F37" w:rsidRDefault="00352F37" w:rsidP="007667A1">
            <w:pPr>
              <w:spacing w:after="200" w:line="276" w:lineRule="auto"/>
              <w:rPr>
                <w:rFonts w:asciiTheme="minorHAnsi" w:eastAsia="MS Mincho" w:hAnsiTheme="minorHAnsi" w:cstheme="minorBidi"/>
                <w:szCs w:val="22"/>
                <w:lang w:bidi="en-US"/>
              </w:rPr>
            </w:pPr>
            <w:r>
              <w:t>Products and services that are marketed or sold in higher ML/TF risk countries.</w:t>
            </w:r>
          </w:p>
        </w:tc>
      </w:tr>
      <w:tr w:rsidR="00352F37" w14:paraId="6E4E2FE8" w14:textId="77777777" w:rsidTr="00E80D35">
        <w:trPr>
          <w:jc w:val="center"/>
        </w:trPr>
        <w:tc>
          <w:tcPr>
            <w:tcW w:w="0" w:type="auto"/>
            <w:vMerge/>
            <w:tcBorders>
              <w:top w:val="nil"/>
            </w:tcBorders>
            <w:vAlign w:val="center"/>
            <w:hideMark/>
          </w:tcPr>
          <w:p w14:paraId="6E4E2FE5" w14:textId="77777777" w:rsidR="00352F37" w:rsidRDefault="00352F37" w:rsidP="007667A1">
            <w:pPr>
              <w:rPr>
                <w:rFonts w:asciiTheme="minorHAnsi" w:eastAsia="MS Mincho" w:hAnsiTheme="minorHAnsi" w:cstheme="minorBidi"/>
                <w:szCs w:val="22"/>
                <w:lang w:bidi="en-US"/>
              </w:rPr>
            </w:pPr>
          </w:p>
        </w:tc>
        <w:tc>
          <w:tcPr>
            <w:tcW w:w="0" w:type="auto"/>
            <w:tcBorders>
              <w:top w:val="nil"/>
            </w:tcBorders>
            <w:shd w:val="clear" w:color="auto" w:fill="FFFFFF"/>
            <w:tcMar>
              <w:top w:w="0" w:type="dxa"/>
              <w:left w:w="108" w:type="dxa"/>
              <w:bottom w:w="0" w:type="dxa"/>
              <w:right w:w="108" w:type="dxa"/>
            </w:tcMar>
            <w:hideMark/>
          </w:tcPr>
          <w:p w14:paraId="6E4E2FE6" w14:textId="77777777" w:rsidR="00352F37" w:rsidRDefault="00352F37" w:rsidP="007667A1">
            <w:pPr>
              <w:spacing w:after="200" w:line="276" w:lineRule="auto"/>
              <w:rPr>
                <w:rFonts w:asciiTheme="minorHAnsi" w:eastAsia="MS Mincho" w:hAnsiTheme="minorHAnsi" w:cstheme="minorBidi"/>
                <w:szCs w:val="22"/>
                <w:lang w:bidi="en-US"/>
              </w:rPr>
            </w:pPr>
            <w:r>
              <w:t>Customers</w:t>
            </w:r>
          </w:p>
        </w:tc>
        <w:tc>
          <w:tcPr>
            <w:tcW w:w="0" w:type="auto"/>
            <w:tcBorders>
              <w:top w:val="nil"/>
            </w:tcBorders>
            <w:shd w:val="clear" w:color="auto" w:fill="FFFFFF"/>
            <w:tcMar>
              <w:top w:w="0" w:type="dxa"/>
              <w:left w:w="108" w:type="dxa"/>
              <w:bottom w:w="0" w:type="dxa"/>
              <w:right w:w="108" w:type="dxa"/>
            </w:tcMar>
            <w:hideMark/>
          </w:tcPr>
          <w:p w14:paraId="6E4E2FE7" w14:textId="77777777" w:rsidR="00352F37" w:rsidRDefault="00352F37" w:rsidP="007667A1">
            <w:pPr>
              <w:spacing w:after="200" w:line="276" w:lineRule="auto"/>
              <w:rPr>
                <w:rFonts w:asciiTheme="minorHAnsi" w:eastAsia="MS Mincho" w:hAnsiTheme="minorHAnsi" w:cstheme="minorBidi"/>
                <w:szCs w:val="22"/>
                <w:lang w:bidi="en-US"/>
              </w:rPr>
            </w:pPr>
            <w:r>
              <w:t>Customers, beneficiaries, policy holder and/or related parties are based in or linked to higher ML/TF risk countries.</w:t>
            </w:r>
          </w:p>
        </w:tc>
      </w:tr>
      <w:tr w:rsidR="00352F37" w14:paraId="6E4E2FEC" w14:textId="77777777" w:rsidTr="000B67E9">
        <w:trPr>
          <w:jc w:val="center"/>
        </w:trPr>
        <w:tc>
          <w:tcPr>
            <w:tcW w:w="0" w:type="auto"/>
            <w:vMerge/>
            <w:tcBorders>
              <w:bottom w:val="single" w:sz="12" w:space="0" w:color="000000"/>
            </w:tcBorders>
            <w:vAlign w:val="center"/>
            <w:hideMark/>
          </w:tcPr>
          <w:p w14:paraId="6E4E2FE9" w14:textId="77777777" w:rsidR="00352F37" w:rsidRDefault="00352F37" w:rsidP="007667A1">
            <w:pPr>
              <w:rPr>
                <w:rFonts w:asciiTheme="minorHAnsi" w:eastAsia="MS Mincho" w:hAnsiTheme="minorHAnsi" w:cstheme="minorBidi"/>
                <w:szCs w:val="22"/>
                <w:lang w:bidi="en-US"/>
              </w:rPr>
            </w:pPr>
          </w:p>
        </w:tc>
        <w:tc>
          <w:tcPr>
            <w:tcW w:w="0" w:type="auto"/>
            <w:tcBorders>
              <w:bottom w:val="single" w:sz="12" w:space="0" w:color="000000"/>
            </w:tcBorders>
            <w:shd w:val="clear" w:color="auto" w:fill="EDF0F7"/>
            <w:tcMar>
              <w:top w:w="0" w:type="dxa"/>
              <w:left w:w="108" w:type="dxa"/>
              <w:bottom w:w="0" w:type="dxa"/>
              <w:right w:w="108" w:type="dxa"/>
            </w:tcMar>
            <w:hideMark/>
          </w:tcPr>
          <w:p w14:paraId="6E4E2FEA" w14:textId="77777777" w:rsidR="00352F37" w:rsidRDefault="00352F37" w:rsidP="007667A1">
            <w:pPr>
              <w:spacing w:after="200" w:line="276" w:lineRule="auto"/>
              <w:rPr>
                <w:rFonts w:asciiTheme="minorHAnsi" w:eastAsia="MS Mincho" w:hAnsiTheme="minorHAnsi" w:cstheme="minorBidi"/>
                <w:szCs w:val="22"/>
                <w:lang w:bidi="en-US"/>
              </w:rPr>
            </w:pPr>
            <w:r>
              <w:t>Intermediaries</w:t>
            </w:r>
          </w:p>
        </w:tc>
        <w:tc>
          <w:tcPr>
            <w:tcW w:w="0" w:type="auto"/>
            <w:tcBorders>
              <w:bottom w:val="single" w:sz="12" w:space="0" w:color="000000"/>
            </w:tcBorders>
            <w:shd w:val="clear" w:color="auto" w:fill="EDF0F7"/>
            <w:tcMar>
              <w:top w:w="0" w:type="dxa"/>
              <w:left w:w="108" w:type="dxa"/>
              <w:bottom w:w="0" w:type="dxa"/>
              <w:right w:w="108" w:type="dxa"/>
            </w:tcMar>
            <w:hideMark/>
          </w:tcPr>
          <w:p w14:paraId="6E4E2FEB" w14:textId="77777777" w:rsidR="00352F37" w:rsidRDefault="00352F37" w:rsidP="007667A1">
            <w:pPr>
              <w:spacing w:after="200" w:line="276" w:lineRule="auto"/>
              <w:rPr>
                <w:rFonts w:asciiTheme="minorHAnsi" w:eastAsia="MS Mincho" w:hAnsiTheme="minorHAnsi" w:cstheme="minorBidi"/>
                <w:szCs w:val="22"/>
                <w:lang w:bidi="en-US"/>
              </w:rPr>
            </w:pPr>
            <w:r>
              <w:t xml:space="preserve">Intermediaries that are based in or sell to higher ML/TF risk jurisdictions (e.g., intermediaries owned and/or controlled by persons established in higher ML/TF risks </w:t>
            </w:r>
            <w:r>
              <w:lastRenderedPageBreak/>
              <w:t xml:space="preserve">jurisdictions) (see </w:t>
            </w:r>
            <w:r w:rsidRPr="00011E74">
              <w:t>para 107</w:t>
            </w:r>
            <w:r>
              <w:t>)</w:t>
            </w:r>
          </w:p>
        </w:tc>
      </w:tr>
    </w:tbl>
    <w:p w14:paraId="6E4E2FED" w14:textId="0AF1BB76" w:rsidR="00352F37" w:rsidRPr="00E148BC" w:rsidRDefault="00352F37" w:rsidP="00352F37">
      <w:pPr>
        <w:pStyle w:val="Para"/>
      </w:pPr>
      <w:r>
        <w:lastRenderedPageBreak/>
        <w:t>In performing a risk assessment. life insurers which distribute their products and services through intermediaries should consider the following</w:t>
      </w:r>
      <w:r w:rsidRPr="00E148BC">
        <w:t>:</w:t>
      </w:r>
    </w:p>
    <w:p w14:paraId="6E4E2FEE" w14:textId="77777777" w:rsidR="00352F37" w:rsidRPr="00E148BC" w:rsidRDefault="00352F37" w:rsidP="00352F37">
      <w:pPr>
        <w:pStyle w:val="BulletedList"/>
        <w:numPr>
          <w:ilvl w:val="0"/>
          <w:numId w:val="23"/>
        </w:numPr>
      </w:pPr>
      <w:r w:rsidRPr="00E148BC">
        <w:rPr>
          <w:i/>
        </w:rPr>
        <w:t>Size and status of the intermediary</w:t>
      </w:r>
      <w:r w:rsidRPr="00E148BC">
        <w:t xml:space="preserve"> - Intermediary operations range from local sole proprietors to large international organisations. Intermediary organisations sometimes operate as independent enterprises or divisions of insurers or other financial institutions, such as </w:t>
      </w:r>
      <w:proofErr w:type="spellStart"/>
      <w:r w:rsidRPr="00E148BC">
        <w:t>bancassurance</w:t>
      </w:r>
      <w:proofErr w:type="spellEnd"/>
      <w:r w:rsidRPr="00E148BC">
        <w:t xml:space="preserve">. </w:t>
      </w:r>
      <w:r>
        <w:t>Smaller intermediaries may have less sophisticated AML/CTF framework and may benefit from more direction from the insurer.</w:t>
      </w:r>
    </w:p>
    <w:p w14:paraId="6E4E2FEF" w14:textId="0A11DF96" w:rsidR="00352F37" w:rsidRDefault="00352F37" w:rsidP="00352F37">
      <w:pPr>
        <w:pStyle w:val="BulletedList"/>
        <w:numPr>
          <w:ilvl w:val="0"/>
          <w:numId w:val="23"/>
        </w:numPr>
      </w:pPr>
      <w:r w:rsidRPr="00E148BC">
        <w:rPr>
          <w:i/>
        </w:rPr>
        <w:t>Legislative and supervisory approach</w:t>
      </w:r>
      <w:r w:rsidRPr="00E148BC">
        <w:t xml:space="preserve"> – Some </w:t>
      </w:r>
      <w:r>
        <w:t xml:space="preserve">jurisdictions </w:t>
      </w:r>
      <w:r w:rsidRPr="00E148BC">
        <w:t xml:space="preserve">do not distinguish between different insurance intermediary categories, and supervision is conducted according to the activity performed. </w:t>
      </w:r>
      <w:r>
        <w:t>In other jurisdictions, supervision of intermediaries may vary depending on the customer relationship and service offered.</w:t>
      </w:r>
      <w:r w:rsidRPr="00E148BC">
        <w:t xml:space="preserve"> Life insurers should</w:t>
      </w:r>
      <w:r>
        <w:t xml:space="preserve"> take steps to</w:t>
      </w:r>
      <w:r w:rsidRPr="00E148BC">
        <w:t xml:space="preserve"> </w:t>
      </w:r>
      <w:r w:rsidR="0050277A">
        <w:t>verify</w:t>
      </w:r>
      <w:r w:rsidR="0050277A" w:rsidRPr="00E148BC">
        <w:t xml:space="preserve"> </w:t>
      </w:r>
      <w:r w:rsidRPr="00E148BC">
        <w:t xml:space="preserve">that </w:t>
      </w:r>
      <w:r>
        <w:t xml:space="preserve">all </w:t>
      </w:r>
      <w:r w:rsidRPr="00E148BC">
        <w:t>their intermediaries</w:t>
      </w:r>
      <w:r>
        <w:t xml:space="preserve"> </w:t>
      </w:r>
      <w:r w:rsidRPr="00E148BC">
        <w:t xml:space="preserve">have the necessary </w:t>
      </w:r>
      <w:r>
        <w:t>A</w:t>
      </w:r>
      <w:r w:rsidRPr="00E148BC">
        <w:t>ML/</w:t>
      </w:r>
      <w:r>
        <w:t>C</w:t>
      </w:r>
      <w:r w:rsidRPr="00E148BC">
        <w:t>F</w:t>
      </w:r>
      <w:r>
        <w:t>T</w:t>
      </w:r>
      <w:r w:rsidRPr="00E148BC">
        <w:t xml:space="preserve"> policies and procedures in place to cover the relevant activities undertaken</w:t>
      </w:r>
      <w:r>
        <w:t>.</w:t>
      </w:r>
    </w:p>
    <w:p w14:paraId="6E4E2FF0" w14:textId="6ABB335D" w:rsidR="00352F37" w:rsidRDefault="00352F37" w:rsidP="00352F37">
      <w:pPr>
        <w:pStyle w:val="BulletedList"/>
        <w:numPr>
          <w:ilvl w:val="0"/>
          <w:numId w:val="23"/>
        </w:numPr>
      </w:pPr>
      <w:r w:rsidRPr="0093280A">
        <w:rPr>
          <w:i/>
        </w:rPr>
        <w:t>Role of the intermediary in handling customer’s funds</w:t>
      </w:r>
      <w:r w:rsidRPr="00E148BC">
        <w:t xml:space="preserve"> - When identifying the risk associated with an intermediary, the insurer should also take into account whether the intermediary handles funds directly from the customer</w:t>
      </w:r>
      <w:r>
        <w:t xml:space="preserve"> - </w:t>
      </w:r>
      <w:r w:rsidRPr="00443ABC">
        <w:t xml:space="preserve">including in relation to </w:t>
      </w:r>
      <w:r>
        <w:t>handling pay-outs of the contract</w:t>
      </w:r>
      <w:r w:rsidRPr="00E148BC">
        <w:t>,</w:t>
      </w:r>
      <w:r>
        <w:t xml:space="preserve"> </w:t>
      </w:r>
      <w:r w:rsidRPr="00E148BC">
        <w:t xml:space="preserve">or whether the intermediary plays a purely facilitating/introducing role. It should be noted that insurance intermediation may also be facilitated by digital means (e.g., online internet portals and mobile phone applications, etc.) or other (e.g., telemarketing, call centres, etc.). Insurers </w:t>
      </w:r>
      <w:r w:rsidR="0050277A">
        <w:t>generally will</w:t>
      </w:r>
      <w:r w:rsidRPr="00E148BC">
        <w:t xml:space="preserve"> subject intermediaries </w:t>
      </w:r>
      <w:proofErr w:type="gramStart"/>
      <w:r w:rsidRPr="00E148BC">
        <w:t>which</w:t>
      </w:r>
      <w:proofErr w:type="gramEnd"/>
      <w:r w:rsidRPr="00E148BC">
        <w:t xml:space="preserve"> handle funds from customers, particularly those which accept cash, to higher ML/TF risk assessment</w:t>
      </w:r>
      <w:r w:rsidRPr="00C64C38">
        <w:t>, and to adopt appropriate measures.</w:t>
      </w:r>
    </w:p>
    <w:p w14:paraId="6E4E2FF1" w14:textId="77777777" w:rsidR="00352F37" w:rsidRDefault="00352F37" w:rsidP="00352F37">
      <w:pPr>
        <w:pStyle w:val="Para"/>
      </w:pPr>
      <w:r>
        <w:t xml:space="preserve">The risk assessment should be commensurate with the nature, size and complexity of the business. For smaller or less complex life insurers or intermediaries (for example where customers fall into similar categories and/or where the range of life insurance products offered are very limited), a simple risk assessment might suffice. It should take into account all risk factors which the life insurer and intermediaries considers to be relevant, including product, geography, </w:t>
      </w:r>
      <w:proofErr w:type="gramStart"/>
      <w:r>
        <w:t>distribution</w:t>
      </w:r>
      <w:proofErr w:type="gramEnd"/>
      <w:r>
        <w:t xml:space="preserve"> and customer risk factors. </w:t>
      </w:r>
    </w:p>
    <w:p w14:paraId="6E4E2FF2" w14:textId="77777777" w:rsidR="00352F37" w:rsidRPr="00841785" w:rsidRDefault="00352F37" w:rsidP="00352F37">
      <w:pPr>
        <w:pStyle w:val="Para"/>
      </w:pPr>
      <w:r>
        <w:t>L</w:t>
      </w:r>
      <w:r w:rsidRPr="00841785">
        <w:t xml:space="preserve">ife insurers and intermediaries should </w:t>
      </w:r>
      <w:r>
        <w:t>consider</w:t>
      </w:r>
      <w:r w:rsidRPr="00841785">
        <w:t xml:space="preserve"> tax</w:t>
      </w:r>
      <w:r>
        <w:t>-related</w:t>
      </w:r>
      <w:r w:rsidRPr="00841785">
        <w:t xml:space="preserve"> </w:t>
      </w:r>
      <w:r w:rsidRPr="006E598B">
        <w:t>aspects as part of their risk assessment as certain characteristics of life insurance products may make</w:t>
      </w:r>
      <w:r>
        <w:t xml:space="preserve"> them attractive to individuals seeking to fraud tax, evade tax or tax reporting requirements. </w:t>
      </w:r>
      <w:r w:rsidRPr="00841785">
        <w:t xml:space="preserve"> </w:t>
      </w:r>
    </w:p>
    <w:p w14:paraId="6E4E2FF3" w14:textId="77777777" w:rsidR="00352F37" w:rsidRDefault="00352F37" w:rsidP="00352F37">
      <w:pPr>
        <w:pStyle w:val="Para"/>
      </w:pPr>
      <w:r>
        <w:t xml:space="preserve">Life insurers and intermediaries should define a clear methodology for the development of their risk assessment, especially in the case of complex organizations such as large, cross-sectoral multinational groups or national multi-business groups. </w:t>
      </w:r>
    </w:p>
    <w:p w14:paraId="6E4E2FF4" w14:textId="2AAE67A1" w:rsidR="00352F37" w:rsidRDefault="00352F37" w:rsidP="00352F37">
      <w:pPr>
        <w:pStyle w:val="Para"/>
      </w:pPr>
      <w:r>
        <w:t xml:space="preserve">In the case of life insurers or intermediaries that are part of a group, risk assessments should take into account group wide risk appetite and framework, where relevant. Depending on the circumstance and local jurisdictional requirements, the parent company should perform a consolidated risk assessment for the entire group, taking into account the geographic situations of each relevant life insurance entity and if any, the legal obstacles preventing foreign entities from apply AML-CFT group-wide procedures, including exchange of information within the group. This will ensure that there is </w:t>
      </w:r>
      <w:r>
        <w:lastRenderedPageBreak/>
        <w:t>adequate oversight and consistent mitigating measures across all relevant entities of the group. Where applicable, they can consider synergies, interaction and consistency with other risk assessments performed by other internal functions, such as compliance and operational risk management.</w:t>
      </w:r>
    </w:p>
    <w:p w14:paraId="6E4E2FF5" w14:textId="77777777" w:rsidR="00352F37" w:rsidRDefault="00352F37" w:rsidP="00352F37">
      <w:pPr>
        <w:pStyle w:val="Para"/>
      </w:pPr>
      <w:r>
        <w:t>Where appropriate, life insurers and intermediaries may cooperate, for example, at an industry or country level to produce guidance to inform the production of their risk assessments.</w:t>
      </w:r>
    </w:p>
    <w:p w14:paraId="6E4E2FF6" w14:textId="77777777" w:rsidR="00352F37" w:rsidRDefault="00352F37" w:rsidP="00352F37">
      <w:pPr>
        <w:pStyle w:val="Para"/>
      </w:pPr>
      <w:r>
        <w:t>ML/TF risk assessments should be periodically reviewed and refreshed in line with the requirements of the competent supervisory authority. Risk assessments should be reviewed promptly in response to internal factors, such as launch of new product, acquisition, or significant change of characteristics of customers due to a merger; and external factors such as regulatory changes, change in the national or supranational risk assessment, or new/emerging AML/CFT typologies.</w:t>
      </w:r>
    </w:p>
    <w:p w14:paraId="6E4E2FF7" w14:textId="77777777" w:rsidR="00352F37" w:rsidRDefault="00352F37" w:rsidP="00352F37">
      <w:pPr>
        <w:pStyle w:val="Heading1"/>
        <w:numPr>
          <w:ilvl w:val="0"/>
          <w:numId w:val="13"/>
        </w:numPr>
      </w:pPr>
      <w:bookmarkStart w:id="42" w:name="_Toc509840557"/>
      <w:bookmarkStart w:id="43" w:name="_Toc517968038"/>
      <w:r>
        <w:t>RISK MITIGATION</w:t>
      </w:r>
      <w:bookmarkEnd w:id="42"/>
      <w:bookmarkEnd w:id="43"/>
    </w:p>
    <w:p w14:paraId="6E4E2FF8" w14:textId="63941668" w:rsidR="00352F37" w:rsidRDefault="00352F37" w:rsidP="00352F37">
      <w:pPr>
        <w:pStyle w:val="Para"/>
      </w:pPr>
      <w:r>
        <w:t xml:space="preserve">Having assessed ML and TF risks in their business, life insurers and intermediaries should then develop </w:t>
      </w:r>
      <w:r w:rsidR="00417934">
        <w:t xml:space="preserve">and implement </w:t>
      </w:r>
      <w:r>
        <w:t>mitigating controls proportionate to the ML and TF risks identified and to the complexity, nature and size of the entity. Consistent with the RBA, life insurers and intermediaries should allocate relatively more resources to mitigating their most significant risks.</w:t>
      </w:r>
    </w:p>
    <w:p w14:paraId="6E4E2FF9" w14:textId="77777777" w:rsidR="00352F37" w:rsidRDefault="00352F37" w:rsidP="00352F37">
      <w:pPr>
        <w:pStyle w:val="Heading2"/>
        <w:numPr>
          <w:ilvl w:val="1"/>
          <w:numId w:val="13"/>
        </w:numPr>
      </w:pPr>
      <w:bookmarkStart w:id="44" w:name="_Toc509840558"/>
      <w:bookmarkStart w:id="45" w:name="_Toc517968039"/>
      <w:r>
        <w:t>Customer Risk Assessment and Mitigation</w:t>
      </w:r>
      <w:bookmarkEnd w:id="44"/>
      <w:bookmarkEnd w:id="45"/>
    </w:p>
    <w:p w14:paraId="6E4E2FFA" w14:textId="77777777" w:rsidR="00352F37" w:rsidRDefault="00352F37" w:rsidP="00352F37">
      <w:pPr>
        <w:pStyle w:val="Para"/>
      </w:pPr>
      <w:r>
        <w:t>Customer Due Diligence (CDD) processes are intended to ensure that life insurers and intermediaries know the identity of each customer and related parties, understand and obtain relevant information on the type of transactions that the customer undertakes; evaluate the intended nature of the business relationship and conduct ongoing monitoring on the business relationship and transactions. This will enable life insurers and intermediaries to assess the overall risk of their business relationships with these parties, associating a dynamic risk rating to each overall relationship which will help determine the level of due diligence to be applied to each of the customers.</w:t>
      </w:r>
    </w:p>
    <w:p w14:paraId="6E4E2FFB" w14:textId="77777777" w:rsidR="00352F37" w:rsidRDefault="00352F37" w:rsidP="00352F37">
      <w:pPr>
        <w:pStyle w:val="Para"/>
      </w:pPr>
      <w:r>
        <w:t>In case of group life insurance policies, when the insured persons have active powers on the contract (e.g., to inject sums in the contract, establish the beneficiary, exercise early surrender of the amounts), those persons should be considered equal to customers. Life insurers and intermediaries should therefore also conduct CDD on those people, as well as on their related parties. In cases where the insured persons have no active powers, it is recommended to screen their names against sanctions lists, but it is not mandatory to identify them, unless the legal or regulatory requirement in a particular jurisdiction requires this.</w:t>
      </w:r>
    </w:p>
    <w:p w14:paraId="6E4E2FFC" w14:textId="77777777" w:rsidR="00352F37" w:rsidRDefault="00352F37" w:rsidP="00352F37">
      <w:pPr>
        <w:pStyle w:val="Para"/>
      </w:pPr>
      <w:r>
        <w:t>Consistent with a risk based approach, life insurers and intermediaries should subject higher risk customers to more intensive (enhanced) due diligence measures, and should also monitor their subsequent transactions with greater sensitivity. Conversely, a life insurer or intermediary may be able to apply less intense (simplified) due diligence to lower risk customers, if the relationships with those customers are considered lower risks (e.g., customers with no characteristics of ML/TF risks, who hold only lower risk products).</w:t>
      </w:r>
    </w:p>
    <w:p w14:paraId="6E4E2FFD" w14:textId="77777777" w:rsidR="00352F37" w:rsidRDefault="00352F37" w:rsidP="00352F37">
      <w:pPr>
        <w:pStyle w:val="Para"/>
      </w:pPr>
      <w:r>
        <w:lastRenderedPageBreak/>
        <w:t>Life insurers and intermediaries should be mindful that customer risk profiles may change, for example if a customer with only low risk products subsequently purchases a higher risk product. Life insurers and intermediaries should have processes in place to trigger more extensive due diligence in these circumstances.</w:t>
      </w:r>
    </w:p>
    <w:p w14:paraId="6E4E2FFE" w14:textId="77777777" w:rsidR="00352F37" w:rsidRDefault="00352F37" w:rsidP="00352F37">
      <w:pPr>
        <w:pStyle w:val="Para"/>
      </w:pPr>
      <w:r>
        <w:t>Assessments of customer ML/TF risks are performed using a documented, ongoing process that assigns and updates customer risk ratings. Customer risk ratings can be enhanced through automated solutions that automatically assign risk scores, and to adjust the level of customer due diligence and monitoring dependent on the scoring. Depending on the nature and complexity of the business, these may not be appropriate for all life insurers and intermediaries.</w:t>
      </w:r>
    </w:p>
    <w:p w14:paraId="6E4E2FFF" w14:textId="77777777" w:rsidR="00352F37" w:rsidRDefault="00352F37" w:rsidP="00352F37">
      <w:pPr>
        <w:pStyle w:val="Heading3"/>
        <w:numPr>
          <w:ilvl w:val="2"/>
          <w:numId w:val="13"/>
        </w:numPr>
      </w:pPr>
      <w:bookmarkStart w:id="46" w:name="_Toc509840559"/>
      <w:bookmarkStart w:id="47" w:name="_Toc517968040"/>
      <w:r>
        <w:t>Customer Due Diligence (CDD)</w:t>
      </w:r>
      <w:bookmarkEnd w:id="46"/>
      <w:bookmarkEnd w:id="47"/>
    </w:p>
    <w:p w14:paraId="6E4E3000" w14:textId="77777777" w:rsidR="00352F37" w:rsidRDefault="00352F37" w:rsidP="00352F37">
      <w:pPr>
        <w:pStyle w:val="Para"/>
      </w:pPr>
      <w:r>
        <w:t xml:space="preserve">Consistent with applicable law, and in line with R. 10, the life insurer’s or intermediary’s initial CDD procedures should include procedures to: </w:t>
      </w:r>
    </w:p>
    <w:p w14:paraId="6E4E3001" w14:textId="77777777" w:rsidR="00352F37" w:rsidRDefault="00352F37" w:rsidP="00352F37">
      <w:pPr>
        <w:pStyle w:val="BulletedList"/>
        <w:numPr>
          <w:ilvl w:val="0"/>
          <w:numId w:val="23"/>
        </w:numPr>
      </w:pPr>
      <w:r>
        <w:t xml:space="preserve">Identify and verify the identity of each customer, or persons acting on his/her behalf, before establishing a business relationship;  </w:t>
      </w:r>
    </w:p>
    <w:p w14:paraId="6E4E3002" w14:textId="77777777" w:rsidR="00352F37" w:rsidRDefault="00352F37" w:rsidP="00352F37">
      <w:pPr>
        <w:pStyle w:val="BulletedList"/>
        <w:numPr>
          <w:ilvl w:val="0"/>
          <w:numId w:val="23"/>
        </w:numPr>
      </w:pPr>
      <w:r>
        <w:t xml:space="preserve">Identify the beneficial owner(s) of customers and beneficiary (if any), and take reasonable measures to verify their identity; </w:t>
      </w:r>
    </w:p>
    <w:p w14:paraId="6E4E3003" w14:textId="77777777" w:rsidR="00352F37" w:rsidRDefault="00352F37" w:rsidP="00352F37">
      <w:pPr>
        <w:pStyle w:val="BulletedList"/>
        <w:numPr>
          <w:ilvl w:val="0"/>
          <w:numId w:val="23"/>
        </w:numPr>
      </w:pPr>
      <w:r>
        <w:t xml:space="preserve">As soon as the beneficiary of the contract is </w:t>
      </w:r>
      <w:proofErr w:type="gramStart"/>
      <w:r>
        <w:t>identified/designated</w:t>
      </w:r>
      <w:proofErr w:type="gramEnd"/>
      <w:r>
        <w:t xml:space="preserve">, take the name of the person, or if the beneficiary is designated by category or by class, or by other means, obtain sufficient information to be able to identify the beneficiary at the time of </w:t>
      </w:r>
      <w:proofErr w:type="spellStart"/>
      <w:r>
        <w:t>payout</w:t>
      </w:r>
      <w:proofErr w:type="spellEnd"/>
      <w:r>
        <w:t xml:space="preserve"> </w:t>
      </w:r>
      <w:r>
        <w:rPr>
          <w:rFonts w:eastAsia="Times New Roman"/>
          <w:lang w:eastAsia="zh-CN"/>
        </w:rPr>
        <w:t>but before funds are disbursed</w:t>
      </w:r>
      <w:r>
        <w:t xml:space="preserve">. In both cases, the identity of the beneficiary should be verified at the time of the </w:t>
      </w:r>
      <w:proofErr w:type="spellStart"/>
      <w:r>
        <w:t>payout</w:t>
      </w:r>
      <w:proofErr w:type="spellEnd"/>
      <w:r>
        <w:t xml:space="preserve">. The beneficiary, if known, should be part of the risk factors on the basis of which the life insurer or intermediary will determine if the relationships is higher risk and enhanced due diligence measures should be applied. </w:t>
      </w:r>
    </w:p>
    <w:p w14:paraId="6E4E3004" w14:textId="77777777" w:rsidR="00352F37" w:rsidRDefault="00352F37" w:rsidP="008244C6">
      <w:pPr>
        <w:pStyle w:val="Para"/>
        <w:numPr>
          <w:ilvl w:val="0"/>
          <w:numId w:val="47"/>
        </w:numPr>
      </w:pPr>
      <w:r>
        <w:t xml:space="preserve">Obtain appropriate information to understand the customer’s circumstances and business, including the purpose and the expected nature of the relationship (for example for natural persons: income, wealth, profession, activity; for legal entities: financial statement). Considering the risk profile of the customer and of the beneficial owner, life insurers and intermediaries should, if necessary, extend this to the customer’s tax residency. </w:t>
      </w:r>
    </w:p>
    <w:p w14:paraId="6E4E3005" w14:textId="77777777" w:rsidR="00352F37" w:rsidRDefault="00352F37" w:rsidP="00352F37">
      <w:pPr>
        <w:pStyle w:val="Para"/>
      </w:pPr>
      <w:r>
        <w:t xml:space="preserve">In accordance with Recommendation 12, the life insurer or intermediary should also take reasonable measures to determine whether the beneficiaries of the life insurance policy and/or, where required, the beneficial owner of the beneficiary are politically exposed persons (PEPs). </w:t>
      </w:r>
    </w:p>
    <w:p w14:paraId="6E4E3006" w14:textId="77777777" w:rsidR="00352F37" w:rsidRPr="00241E8E" w:rsidRDefault="00352F37" w:rsidP="00352F37">
      <w:pPr>
        <w:pStyle w:val="Para"/>
        <w:rPr>
          <w:szCs w:val="22"/>
        </w:rPr>
      </w:pPr>
      <w:r>
        <w:t>CDD measures also apply to existing customers,</w:t>
      </w:r>
      <w:r w:rsidRPr="00D13C6D">
        <w:rPr>
          <w:szCs w:val="22"/>
        </w:rPr>
        <w:t xml:space="preserve"> and their beneficial owners</w:t>
      </w:r>
      <w:r>
        <w:t xml:space="preserve">, </w:t>
      </w:r>
      <w:r w:rsidRPr="00D13C6D">
        <w:rPr>
          <w:szCs w:val="22"/>
        </w:rPr>
        <w:t xml:space="preserve">on the basis of materiality and risk, </w:t>
      </w:r>
      <w:r w:rsidRPr="00241E8E">
        <w:rPr>
          <w:szCs w:val="22"/>
        </w:rPr>
        <w:t xml:space="preserve">and taking into account whether and when CDD measures have previously been undertaken and the adequacy of data obtained. </w:t>
      </w:r>
      <w:r>
        <w:rPr>
          <w:szCs w:val="22"/>
        </w:rPr>
        <w:t>T</w:t>
      </w:r>
      <w:r w:rsidRPr="00D13C6D">
        <w:rPr>
          <w:szCs w:val="22"/>
        </w:rPr>
        <w:t xml:space="preserve">he various transactions or “trigger events” that occur after the </w:t>
      </w:r>
      <w:r>
        <w:rPr>
          <w:szCs w:val="22"/>
        </w:rPr>
        <w:t xml:space="preserve">life insurance </w:t>
      </w:r>
      <w:r w:rsidRPr="00D13C6D">
        <w:rPr>
          <w:szCs w:val="22"/>
        </w:rPr>
        <w:t xml:space="preserve">contract </w:t>
      </w:r>
      <w:r>
        <w:rPr>
          <w:szCs w:val="22"/>
        </w:rPr>
        <w:t xml:space="preserve">effective </w:t>
      </w:r>
      <w:r w:rsidRPr="00D13C6D">
        <w:rPr>
          <w:szCs w:val="22"/>
        </w:rPr>
        <w:t>date indicate where due diligence should be performed</w:t>
      </w:r>
      <w:r>
        <w:rPr>
          <w:szCs w:val="22"/>
        </w:rPr>
        <w:t xml:space="preserve">, for example, </w:t>
      </w:r>
      <w:r w:rsidRPr="00D13C6D">
        <w:rPr>
          <w:szCs w:val="22"/>
        </w:rPr>
        <w:t xml:space="preserve">claims </w:t>
      </w:r>
      <w:r w:rsidRPr="00D13C6D">
        <w:rPr>
          <w:szCs w:val="22"/>
        </w:rPr>
        <w:lastRenderedPageBreak/>
        <w:t>notification, surrender requests, assignments and policy alterations, such as changes in beneficiaries</w:t>
      </w:r>
      <w:r>
        <w:rPr>
          <w:szCs w:val="22"/>
        </w:rPr>
        <w:t>.</w:t>
      </w:r>
      <w:r>
        <w:rPr>
          <w:rStyle w:val="FootnoteReference"/>
          <w:szCs w:val="22"/>
        </w:rPr>
        <w:footnoteReference w:id="28"/>
      </w:r>
      <w:r w:rsidRPr="00D13C6D">
        <w:rPr>
          <w:szCs w:val="22"/>
        </w:rPr>
        <w:t xml:space="preserve"> </w:t>
      </w:r>
    </w:p>
    <w:p w14:paraId="6E4E3007" w14:textId="77777777" w:rsidR="00352F37" w:rsidRDefault="00352F37" w:rsidP="00352F37">
      <w:pPr>
        <w:pStyle w:val="Para"/>
      </w:pPr>
      <w:r>
        <w:t>In accordance with Recommendation 10, where life insurers and intermediaries cannot apply the appropriate level of CDD, they should be required not to enter into the business relationship or instead terminate the business relationship.</w:t>
      </w:r>
    </w:p>
    <w:p w14:paraId="6E4E3008" w14:textId="77777777" w:rsidR="00352F37" w:rsidRDefault="00352F37" w:rsidP="00352F37">
      <w:pPr>
        <w:pStyle w:val="Heading3"/>
        <w:numPr>
          <w:ilvl w:val="2"/>
          <w:numId w:val="13"/>
        </w:numPr>
      </w:pPr>
      <w:bookmarkStart w:id="48" w:name="_Toc509840560"/>
      <w:bookmarkStart w:id="49" w:name="_Toc517968041"/>
      <w:r>
        <w:t>Simplified Due Diligence (SDD)</w:t>
      </w:r>
      <w:bookmarkEnd w:id="48"/>
      <w:bookmarkEnd w:id="49"/>
    </w:p>
    <w:p w14:paraId="6E4E3009" w14:textId="77777777" w:rsidR="00352F37" w:rsidRDefault="00352F37" w:rsidP="00352F37">
      <w:pPr>
        <w:pStyle w:val="Para"/>
      </w:pPr>
      <w:r>
        <w:t xml:space="preserve">In some lower risk scenarios, and subject to applicable local laws, the standard level of due diligence may be simplified. Examples of lower risk scenarios are:  </w:t>
      </w:r>
    </w:p>
    <w:p w14:paraId="6E4E300A" w14:textId="77777777" w:rsidR="00352F37" w:rsidRDefault="00352F37" w:rsidP="00352F37">
      <w:pPr>
        <w:pStyle w:val="BulletedList"/>
        <w:numPr>
          <w:ilvl w:val="0"/>
          <w:numId w:val="23"/>
        </w:numPr>
      </w:pPr>
      <w:r>
        <w:t>Products that only pay out at death;</w:t>
      </w:r>
    </w:p>
    <w:p w14:paraId="6E4E300B" w14:textId="77777777" w:rsidR="00352F37" w:rsidRDefault="00352F37" w:rsidP="00352F37">
      <w:pPr>
        <w:pStyle w:val="BulletedList"/>
        <w:numPr>
          <w:ilvl w:val="0"/>
          <w:numId w:val="23"/>
        </w:numPr>
      </w:pPr>
      <w:r>
        <w:t xml:space="preserve">Customers that are publicly listed companies on recognised exchanges; </w:t>
      </w:r>
    </w:p>
    <w:p w14:paraId="6E4E300C" w14:textId="3EDB7B07" w:rsidR="00352F37" w:rsidRDefault="00352F37" w:rsidP="00352F37">
      <w:pPr>
        <w:pStyle w:val="BulletedList"/>
        <w:numPr>
          <w:ilvl w:val="0"/>
          <w:numId w:val="23"/>
        </w:numPr>
      </w:pPr>
      <w:r>
        <w:t xml:space="preserve">Transactions involving de </w:t>
      </w:r>
      <w:proofErr w:type="spellStart"/>
      <w:r>
        <w:t>minimis</w:t>
      </w:r>
      <w:proofErr w:type="spellEnd"/>
      <w:r>
        <w:t xml:space="preserve"> amounts, such as life insurance policies where the annual premium is no more than USD/EUR</w:t>
      </w:r>
      <w:r w:rsidR="003162E3">
        <w:t xml:space="preserve"> </w:t>
      </w:r>
      <w:r>
        <w:t>1000 or a single premium of no more than USD/EUR</w:t>
      </w:r>
      <w:r w:rsidR="003162E3">
        <w:t xml:space="preserve"> </w:t>
      </w:r>
      <w:r>
        <w:t xml:space="preserve">2500;  </w:t>
      </w:r>
    </w:p>
    <w:p w14:paraId="6E4E300D" w14:textId="77777777" w:rsidR="00352F37" w:rsidRPr="002F3836" w:rsidRDefault="00352F37" w:rsidP="00352F37">
      <w:pPr>
        <w:pStyle w:val="BulletedList"/>
        <w:numPr>
          <w:ilvl w:val="0"/>
          <w:numId w:val="23"/>
        </w:numPr>
      </w:pPr>
      <w:r w:rsidRPr="002F3836">
        <w:t xml:space="preserve">Insurance policies for pension schemes if there is no surrender clause and the policy cannot be used as collateral; </w:t>
      </w:r>
    </w:p>
    <w:p w14:paraId="6E4E300E" w14:textId="77777777" w:rsidR="00352F37" w:rsidRPr="002F3836" w:rsidRDefault="00352F37" w:rsidP="00352F37">
      <w:pPr>
        <w:pStyle w:val="BulletedList"/>
        <w:numPr>
          <w:ilvl w:val="0"/>
          <w:numId w:val="23"/>
        </w:numPr>
      </w:pPr>
      <w:r w:rsidRPr="002F3836">
        <w:t xml:space="preserve">A pension, superannuation or similar scheme that provides retirement benefits to employees, where contributions are made by way of deduction from wages and the scheme rules do not permit the assignment of a member’s interest under the scheme </w:t>
      </w:r>
      <w:r>
        <w:t>(e.g., small insurance premiums);</w:t>
      </w:r>
    </w:p>
    <w:p w14:paraId="6E4E3010" w14:textId="43BE42C2" w:rsidR="00352F37" w:rsidRDefault="00352F37" w:rsidP="00352F37">
      <w:pPr>
        <w:pStyle w:val="BulletedList"/>
        <w:numPr>
          <w:ilvl w:val="0"/>
          <w:numId w:val="0"/>
        </w:numPr>
        <w:ind w:left="1361"/>
      </w:pPr>
      <w:r w:rsidRPr="002F3836">
        <w:t>Financial products or services that provide appropriately defined and limited services to certain types of customers, so as to increase access for financial inclusion purposes.</w:t>
      </w:r>
    </w:p>
    <w:p w14:paraId="6E4E3011" w14:textId="77777777" w:rsidR="00352F37" w:rsidRDefault="00352F37" w:rsidP="00352F37">
      <w:pPr>
        <w:pStyle w:val="Para"/>
        <w:tabs>
          <w:tab w:val="left" w:pos="6096"/>
        </w:tabs>
      </w:pPr>
      <w:r>
        <w:t>In those situations, SDD may include verifying the identity of the customer and the beneficial owner after the establishment of the business relationship (e.g., if account transactions rise above a defined monetary threshold); reducing the frequency of customer identification updates; reducing the degree of on-going monitoring and scrutinising transactions, based on a reasonable monetary threshold; not collecting specific information or carrying out specific measures to understand the purpose and intended nature of the business relationship, but inferring the purpose and nature from the type of transactions or business relationship established (R. 10).</w:t>
      </w:r>
    </w:p>
    <w:p w14:paraId="6E4E3012" w14:textId="7513E471" w:rsidR="00352F37" w:rsidRDefault="00352F37" w:rsidP="00352F37">
      <w:pPr>
        <w:pStyle w:val="Heading3"/>
        <w:numPr>
          <w:ilvl w:val="2"/>
          <w:numId w:val="13"/>
        </w:numPr>
      </w:pPr>
      <w:bookmarkStart w:id="50" w:name="_Toc509840561"/>
      <w:bookmarkStart w:id="51" w:name="_Toc517968042"/>
      <w:r>
        <w:t>Enhanced Due Diligence</w:t>
      </w:r>
      <w:bookmarkEnd w:id="50"/>
      <w:bookmarkEnd w:id="51"/>
      <w:r w:rsidR="00E80D35">
        <w:t xml:space="preserve"> (EDD)</w:t>
      </w:r>
    </w:p>
    <w:p w14:paraId="0A6F4F7F" w14:textId="1008F6F0" w:rsidR="00E80D35" w:rsidRDefault="00352F37" w:rsidP="00352F37">
      <w:pPr>
        <w:pStyle w:val="Para"/>
      </w:pPr>
      <w:r>
        <w:t>In higher risk scenarios, EDD should be performed. Higher risk scenarios include</w:t>
      </w:r>
      <w:r w:rsidR="00E80D35">
        <w:t>, for example,</w:t>
      </w:r>
      <w:r>
        <w:t xml:space="preserve"> situations where the third-party payer is not the policy holder and has no apparent relationship with him or where multiple surrenders seem to have no apparent economic justification or where the origin of funds is not clear.</w:t>
      </w:r>
    </w:p>
    <w:p w14:paraId="6E4E3013" w14:textId="42F5FCF9" w:rsidR="00352F37" w:rsidRDefault="00352F37" w:rsidP="00352F37">
      <w:pPr>
        <w:pStyle w:val="Para"/>
      </w:pPr>
      <w:r>
        <w:t xml:space="preserve">EDD should include obtaining additional information including on the intended nature of the business relationship, and on the source of wealth or source of funds of the customer (R. 10). Life insurers and intermediaries should also extend the range of information collected to the customers’ ownership structure, or his/her tax residency, </w:t>
      </w:r>
      <w:r>
        <w:lastRenderedPageBreak/>
        <w:t>connected parties or other risk factors; and seeks to independently corroborate customer information through public or other available sources.</w:t>
      </w:r>
    </w:p>
    <w:p w14:paraId="6E4E3014" w14:textId="77777777" w:rsidR="00352F37" w:rsidRDefault="00352F37" w:rsidP="00352F37">
      <w:pPr>
        <w:pStyle w:val="Para"/>
      </w:pPr>
      <w:r w:rsidRPr="00BF3C50">
        <w:t>In instances where</w:t>
      </w:r>
      <w:r>
        <w:t xml:space="preserve"> </w:t>
      </w:r>
      <w:r w:rsidRPr="00BF3C50">
        <w:t xml:space="preserve">higher risks are identified in relation to beneficiaries of life insurance policies or their beneficial owners, </w:t>
      </w:r>
      <w:r w:rsidRPr="00457FB1">
        <w:t>R</w:t>
      </w:r>
      <w:r>
        <w:t xml:space="preserve">. </w:t>
      </w:r>
      <w:r w:rsidRPr="00BF3C50">
        <w:t>12 require</w:t>
      </w:r>
      <w:r>
        <w:t>s</w:t>
      </w:r>
      <w:r w:rsidRPr="00BF3C50">
        <w:t xml:space="preserve"> senior management to be informed</w:t>
      </w:r>
      <w:r>
        <w:t xml:space="preserve"> </w:t>
      </w:r>
      <w:r w:rsidRPr="009F53CB">
        <w:t xml:space="preserve">and enhanced scrutiny </w:t>
      </w:r>
      <w:r w:rsidRPr="000E7A8D">
        <w:t>to be conducted on the whole business relationship with the policyholder,</w:t>
      </w:r>
      <w:r w:rsidRPr="00A85652">
        <w:t xml:space="preserve"> prior to a </w:t>
      </w:r>
      <w:proofErr w:type="spellStart"/>
      <w:r w:rsidRPr="00A85652">
        <w:t>payout</w:t>
      </w:r>
      <w:proofErr w:type="spellEnd"/>
      <w:r w:rsidRPr="00A85652">
        <w:t xml:space="preserve"> being made. This includes</w:t>
      </w:r>
      <w:r w:rsidRPr="00566F52">
        <w:t xml:space="preserve"> determining whether </w:t>
      </w:r>
      <w:r w:rsidRPr="007014F1">
        <w:t>filing a</w:t>
      </w:r>
      <w:r w:rsidRPr="00EB2FAA">
        <w:t xml:space="preserve"> STR is appropriate.</w:t>
      </w:r>
    </w:p>
    <w:p w14:paraId="6E4E3015" w14:textId="77777777" w:rsidR="00352F37" w:rsidRDefault="00352F37" w:rsidP="00352F37">
      <w:pPr>
        <w:pStyle w:val="Para"/>
      </w:pPr>
      <w:r>
        <w:t>Additional controls for higher risk situations may include closer monitoring such as increased monitoring of transactions (frequency, thresholds, volumes, etc.) (R. 10). In some cases, life insurers and intermediaries also require compliance review or approval on the establishment of or the offering of any additional account/policy/contract or relationship, or conduct more frequent customer reviews.</w:t>
      </w:r>
    </w:p>
    <w:p w14:paraId="6E4E3016" w14:textId="77777777" w:rsidR="00352F37" w:rsidRDefault="00352F37" w:rsidP="00352F37">
      <w:pPr>
        <w:pStyle w:val="Heading3"/>
        <w:numPr>
          <w:ilvl w:val="2"/>
          <w:numId w:val="13"/>
        </w:numPr>
      </w:pPr>
      <w:bookmarkStart w:id="52" w:name="_Toc509840562"/>
      <w:bookmarkStart w:id="53" w:name="_Toc517968043"/>
      <w:r>
        <w:t>Ongoing Risk Monitoring and Mitigation</w:t>
      </w:r>
      <w:bookmarkEnd w:id="52"/>
      <w:bookmarkEnd w:id="53"/>
    </w:p>
    <w:p w14:paraId="6E4E3017" w14:textId="77777777" w:rsidR="00352F37" w:rsidRDefault="00352F37" w:rsidP="00352F37">
      <w:pPr>
        <w:pStyle w:val="Para"/>
      </w:pPr>
      <w:r>
        <w:t>Monitoring involves the scrutiny of activity to determine whether they are consistent with the information held on the customer and the nature and purpose of the business relationship. Monitoring can be manual, automated or a combination of both. It takes into account all products held by the customer, and also involves identifying changes to the customer risk profile (for example, the customer’s behaviour, use of products and the amount of money involved), and keeping information in relation to this up to date, which may trigger the application of enhanced CDD measures.</w:t>
      </w:r>
    </w:p>
    <w:p w14:paraId="6E4E3018" w14:textId="77777777" w:rsidR="00352F37" w:rsidRDefault="00352F37" w:rsidP="00352F37">
      <w:pPr>
        <w:pStyle w:val="Para"/>
      </w:pPr>
      <w:r>
        <w:t>Not all transactions, accounts/policies/contracts, or customers will necessarily be monitored in the same way or to the same degree. Where appropriate, insurers or intermediaries may use automated tools to monitor transactions. Life insurers and intermediaries should define adequate thresholds or scenarios to filter out unusual transactions with regard to the risk profile of a given customer. These thresholds or scenarios may change over time based on various factors, such as specific experience with a customer, or new typologies.</w:t>
      </w:r>
    </w:p>
    <w:p w14:paraId="6E4E3019" w14:textId="77777777" w:rsidR="00352F37" w:rsidRDefault="00352F37" w:rsidP="00352F37">
      <w:pPr>
        <w:pStyle w:val="Para"/>
      </w:pPr>
      <w:r>
        <w:t xml:space="preserve">Where a life insurer chooses to rely on a third party to perform ongoing monitoring, the life insurer should take this into account when assessing its AML/CTF framework and include that in its internal control. </w:t>
      </w:r>
    </w:p>
    <w:p w14:paraId="6E4E301A" w14:textId="77777777" w:rsidR="00352F37" w:rsidRDefault="00352F37" w:rsidP="00352F37">
      <w:pPr>
        <w:pStyle w:val="Heading3"/>
        <w:numPr>
          <w:ilvl w:val="2"/>
          <w:numId w:val="13"/>
        </w:numPr>
      </w:pPr>
      <w:bookmarkStart w:id="54" w:name="_Toc517968044"/>
      <w:r>
        <w:t>Reporting Suspicious Transactions</w:t>
      </w:r>
      <w:bookmarkEnd w:id="54"/>
    </w:p>
    <w:p w14:paraId="6E4E301B" w14:textId="77777777" w:rsidR="00352F37" w:rsidRDefault="00352F37" w:rsidP="00352F37">
      <w:pPr>
        <w:pStyle w:val="Para"/>
      </w:pPr>
      <w:r>
        <w:t xml:space="preserve">If life insurers or intermediaries suspect, or have reasonable grounds to suspect, that funds are the proceeds of a criminal activity, or related to terrorist financing, they should promptly report their suspicions to the financial intelligence unit. Reporting should be made regardless of the amount of the transaction (R. 20). </w:t>
      </w:r>
    </w:p>
    <w:p w14:paraId="6E4E301C" w14:textId="77777777" w:rsidR="00352F37" w:rsidRDefault="00352F37" w:rsidP="00352F37">
      <w:pPr>
        <w:pStyle w:val="Para"/>
      </w:pPr>
      <w:r>
        <w:t xml:space="preserve">The reason for reporting and dismissing suspicious transactions should be documented. This process should create a comprehensive audit trail and be maintained according to applicable recordkeeping requirements.  </w:t>
      </w:r>
    </w:p>
    <w:p w14:paraId="6E4E301D" w14:textId="77777777" w:rsidR="00352F37" w:rsidRDefault="00352F37" w:rsidP="00352F37">
      <w:pPr>
        <w:pStyle w:val="Para"/>
      </w:pPr>
      <w:r>
        <w:t xml:space="preserve">The obligation to report suspicious transactions is not risk based and does not discharge a life insurer or intermediary’s AML/CFT responsibilities.   </w:t>
      </w:r>
    </w:p>
    <w:p w14:paraId="6E4E301E" w14:textId="77777777" w:rsidR="00352F37" w:rsidRDefault="00352F37" w:rsidP="00352F37">
      <w:pPr>
        <w:pStyle w:val="Heading1"/>
        <w:numPr>
          <w:ilvl w:val="0"/>
          <w:numId w:val="13"/>
        </w:numPr>
      </w:pPr>
      <w:bookmarkStart w:id="55" w:name="_Toc509840563"/>
      <w:bookmarkStart w:id="56" w:name="_Toc517968045"/>
      <w:r>
        <w:lastRenderedPageBreak/>
        <w:t>INTERNAL CONTROLS, GOVERNANCE AND MONITORING</w:t>
      </w:r>
      <w:bookmarkEnd w:id="55"/>
      <w:bookmarkEnd w:id="56"/>
    </w:p>
    <w:p w14:paraId="6E4E301F" w14:textId="77777777" w:rsidR="00352F37" w:rsidRDefault="00352F37" w:rsidP="00352F37">
      <w:pPr>
        <w:pStyle w:val="Para"/>
      </w:pPr>
      <w:r>
        <w:t xml:space="preserve">The senior management and Board of Directors (or equivalent body) are ultimately responsible for ensuring that the life insurer or intermediary establishes and maintains an effective system of internal controls.  </w:t>
      </w:r>
    </w:p>
    <w:p w14:paraId="6E4E3020" w14:textId="77777777" w:rsidR="00352F37" w:rsidRDefault="00352F37" w:rsidP="00352F37">
      <w:pPr>
        <w:pStyle w:val="Para"/>
      </w:pPr>
      <w:r w:rsidRPr="00BA62D1">
        <w:t xml:space="preserve">The precise nature and extent of AML/CFT controls will depend upon a number of factors, including the nature, scale and complexity of a life insurer or intermediary’s business, the diversity of its operations, including geographical diversity, its customer base, product and activity profile, the degree of risk associated with each area of its operations and distribution channels, </w:t>
      </w:r>
      <w:r>
        <w:t>i.e.,</w:t>
      </w:r>
      <w:r w:rsidRPr="00BA62D1">
        <w:t xml:space="preserve"> the extent to which the life insurer is dealing directly with the customer or is dealing through intermediaries, agents, third parties, or in a non-face-to-face setting without appropriate risk mitigating measures</w:t>
      </w:r>
      <w:r>
        <w:t>.</w:t>
      </w:r>
    </w:p>
    <w:p w14:paraId="6E4E3021" w14:textId="77777777" w:rsidR="00352F37" w:rsidRDefault="00352F37" w:rsidP="00352F37">
      <w:pPr>
        <w:pStyle w:val="Heading2"/>
        <w:numPr>
          <w:ilvl w:val="1"/>
          <w:numId w:val="13"/>
        </w:numPr>
      </w:pPr>
      <w:bookmarkStart w:id="57" w:name="_Toc509840564"/>
      <w:bookmarkStart w:id="58" w:name="_Toc517968046"/>
      <w:r>
        <w:t>Internal controls</w:t>
      </w:r>
      <w:bookmarkEnd w:id="57"/>
      <w:bookmarkEnd w:id="58"/>
      <w:r>
        <w:t xml:space="preserve"> </w:t>
      </w:r>
    </w:p>
    <w:p w14:paraId="6E4E3022" w14:textId="77777777" w:rsidR="00352F37" w:rsidRDefault="00352F37" w:rsidP="00352F37">
      <w:pPr>
        <w:pStyle w:val="Heading3"/>
        <w:numPr>
          <w:ilvl w:val="2"/>
          <w:numId w:val="13"/>
        </w:numPr>
      </w:pPr>
      <w:bookmarkStart w:id="59" w:name="_Toc517968047"/>
      <w:r>
        <w:t>Control Environment – Entity Level Controls (Group and Subsidiary)</w:t>
      </w:r>
      <w:bookmarkEnd w:id="59"/>
    </w:p>
    <w:p w14:paraId="6E4E3023" w14:textId="77777777" w:rsidR="00352F37" w:rsidRDefault="00352F37" w:rsidP="00352F37">
      <w:pPr>
        <w:pStyle w:val="Para"/>
      </w:pPr>
      <w:r>
        <w:t xml:space="preserve">The control environment is the set of standards, processes, and structures that provide the basis for carrying out internal control across the organization. A life insurer’s or intermediary’ s control environment sets the tone of the entity’s AML/CFT operations, significantly influences the control consciousness of people within the organization and is the foundation for all other components of the system of internal controls. Many of the entity level controls that comprise the control environment are subjected to independent testing and assessment as part of the life insurer’s or intermediary’s annual external financial reporting.   </w:t>
      </w:r>
    </w:p>
    <w:p w14:paraId="6E4E3024" w14:textId="77777777" w:rsidR="00352F37" w:rsidRDefault="00352F37" w:rsidP="00352F37">
      <w:pPr>
        <w:pStyle w:val="Heading3"/>
        <w:numPr>
          <w:ilvl w:val="2"/>
          <w:numId w:val="13"/>
        </w:numPr>
      </w:pPr>
      <w:bookmarkStart w:id="60" w:name="_Toc517968048"/>
      <w:r>
        <w:t>Assessment of controls</w:t>
      </w:r>
      <w:bookmarkEnd w:id="60"/>
    </w:p>
    <w:p w14:paraId="6E4E3025" w14:textId="77777777" w:rsidR="00352F37" w:rsidRDefault="00352F37" w:rsidP="00352F37">
      <w:pPr>
        <w:pStyle w:val="Para"/>
      </w:pPr>
      <w:r>
        <w:t xml:space="preserve">The assessment of design adequacy and operating effectiveness of AML/CFT controls should be a continuous process within the organization, coupled with a recommended comprehensive assessment and formal conclusion by the AML/CFT officer (see below) regarding the effectiveness of the overall AML/CFT programme.  This should occur on a periodic basis and include reporting to the results to the relevant governance body (senior management, and the Audit Committee, if relevant). An effective AML/CFT programme supports the assessment of associated controls reported to senior management and Board (through the Audit and Risk Committees). </w:t>
      </w:r>
    </w:p>
    <w:p w14:paraId="6E4E3026" w14:textId="77777777" w:rsidR="00352F37" w:rsidRDefault="00352F37" w:rsidP="00352F37">
      <w:pPr>
        <w:pStyle w:val="Para"/>
      </w:pPr>
      <w:r w:rsidRPr="000E619D">
        <w:rPr>
          <w:i/>
        </w:rPr>
        <w:t>Governance</w:t>
      </w:r>
      <w:r>
        <w:t xml:space="preserve"> - Responsibility for the consistency and effectiveness of AML/CFT controls should be clearly allocated to an individual of sufficient seniority within the life insurer or intermediary to signal the importance of ML/TF risk management and compliance, and to ensure that ML/TF issues are brought to senior management’s attention. Depending on the scale and complexity of the business, this may include the appointment of a skilled compliance officer at the management level. The compliance officer should have the necessary independence, authority, seniority, resources and expertise to carry out these functions effectively, including the ability to access all relevant internal information (including across lines of business, geographies, subsidiaries and agents). </w:t>
      </w:r>
    </w:p>
    <w:p w14:paraId="6E4E3027" w14:textId="77777777" w:rsidR="00352F37" w:rsidRDefault="00352F37" w:rsidP="00352F37">
      <w:pPr>
        <w:pStyle w:val="Para"/>
      </w:pPr>
      <w:r>
        <w:t xml:space="preserve">There are numerous risk management models that may be used. </w:t>
      </w:r>
      <w:r w:rsidRPr="00C233D8">
        <w:t>The life insurer/intermediary should select t</w:t>
      </w:r>
      <w:r>
        <w:t>he model most relevant to its own</w:t>
      </w:r>
      <w:r w:rsidRPr="00C233D8">
        <w:t xml:space="preserve"> business practices. </w:t>
      </w:r>
      <w:r>
        <w:t xml:space="preserve">Box 1 below provides an example of an AML/CFT programme supported by the </w:t>
      </w:r>
      <w:r>
        <w:lastRenderedPageBreak/>
        <w:t xml:space="preserve">combination of three lines of defence risk model and the COSO internal control framework, both of which have been widely adopted by life insurers globally. </w:t>
      </w:r>
    </w:p>
    <w:p w14:paraId="6E4E3028" w14:textId="77777777" w:rsidR="00352F37" w:rsidRPr="003A5026" w:rsidRDefault="00352F37" w:rsidP="00352F37">
      <w:pPr>
        <w:tabs>
          <w:tab w:val="clear" w:pos="850"/>
          <w:tab w:val="clear" w:pos="1191"/>
          <w:tab w:val="clear" w:pos="1531"/>
        </w:tabs>
        <w:jc w:val="left"/>
        <w:rPr>
          <w:rFonts w:eastAsia="SimSun"/>
        </w:rPr>
      </w:pPr>
    </w:p>
    <w:tbl>
      <w:tblPr>
        <w:tblW w:w="4571"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8699"/>
      </w:tblGrid>
      <w:tr w:rsidR="00352F37" w:rsidRPr="00961F86" w14:paraId="6E4E302E" w14:textId="77777777" w:rsidTr="007667A1">
        <w:trPr>
          <w:jc w:val="center"/>
        </w:trPr>
        <w:tc>
          <w:tcPr>
            <w:tcW w:w="5000" w:type="pct"/>
            <w:shd w:val="clear" w:color="auto" w:fill="EDF0F7"/>
          </w:tcPr>
          <w:p w14:paraId="6E4E3029" w14:textId="77777777" w:rsidR="00352F37" w:rsidRPr="0050277A" w:rsidRDefault="00352F37" w:rsidP="007667A1">
            <w:pPr>
              <w:pStyle w:val="BoxHeading"/>
              <w:jc w:val="center"/>
              <w:rPr>
                <w:sz w:val="22"/>
                <w:szCs w:val="22"/>
              </w:rPr>
            </w:pPr>
            <w:r w:rsidRPr="0050277A">
              <w:rPr>
                <w:sz w:val="22"/>
                <w:szCs w:val="22"/>
              </w:rPr>
              <w:lastRenderedPageBreak/>
              <w:t>Box </w:t>
            </w:r>
            <w:r w:rsidRPr="0050277A">
              <w:rPr>
                <w:sz w:val="22"/>
                <w:szCs w:val="22"/>
              </w:rPr>
              <w:fldChar w:fldCharType="begin"/>
            </w:r>
            <w:r w:rsidRPr="0050277A">
              <w:rPr>
                <w:sz w:val="22"/>
                <w:szCs w:val="22"/>
              </w:rPr>
              <w:instrText xml:space="preserve"> SEQ Box \* ARABIC </w:instrText>
            </w:r>
            <w:r w:rsidRPr="0050277A">
              <w:rPr>
                <w:sz w:val="22"/>
                <w:szCs w:val="22"/>
              </w:rPr>
              <w:fldChar w:fldCharType="separate"/>
            </w:r>
            <w:r w:rsidR="006E4FC1" w:rsidRPr="0050277A">
              <w:rPr>
                <w:noProof/>
                <w:sz w:val="22"/>
                <w:szCs w:val="22"/>
              </w:rPr>
              <w:t>1</w:t>
            </w:r>
            <w:r w:rsidRPr="0050277A">
              <w:rPr>
                <w:sz w:val="22"/>
                <w:szCs w:val="22"/>
              </w:rPr>
              <w:fldChar w:fldCharType="end"/>
            </w:r>
            <w:r w:rsidRPr="0050277A">
              <w:rPr>
                <w:sz w:val="22"/>
                <w:szCs w:val="22"/>
              </w:rPr>
              <w:t>. Example of an Internal Control Framework</w:t>
            </w:r>
          </w:p>
          <w:p w14:paraId="6E4E302A" w14:textId="77777777" w:rsidR="00352F37" w:rsidRDefault="00352F37" w:rsidP="007667A1">
            <w:pPr>
              <w:pStyle w:val="Para0"/>
            </w:pPr>
            <w:r>
              <w:rPr>
                <w:noProof/>
                <w:lang w:eastAsia="en-GB"/>
              </w:rPr>
              <w:drawing>
                <wp:inline distT="0" distB="0" distL="0" distR="0" wp14:anchorId="6E4E3223" wp14:editId="6E4E3224">
                  <wp:extent cx="4234232" cy="28540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38461" cy="2856886"/>
                          </a:xfrm>
                          <a:prstGeom prst="rect">
                            <a:avLst/>
                          </a:prstGeom>
                        </pic:spPr>
                      </pic:pic>
                    </a:graphicData>
                  </a:graphic>
                </wp:inline>
              </w:drawing>
            </w:r>
          </w:p>
          <w:p w14:paraId="6E4E302B" w14:textId="77777777" w:rsidR="00352F37" w:rsidRDefault="00352F37" w:rsidP="007667A1">
            <w:pPr>
              <w:pStyle w:val="Para0"/>
            </w:pPr>
            <w:r>
              <w:rPr>
                <w:b/>
              </w:rPr>
              <w:t>1st Line of Defenc</w:t>
            </w:r>
            <w:r w:rsidRPr="00DD7282">
              <w:rPr>
                <w:b/>
              </w:rPr>
              <w:t>e (Business Front Line Management)</w:t>
            </w:r>
            <w:r>
              <w:t xml:space="preserve"> – A company’s businesses operational management owns and manages the risks, including AML/CFT risks, inherent in or arising from their business processes, and is responsible for having properly designed and effectively operating controls in place to mitigate significant risks, performing ongoing assessments of internal controls, and promoting a culture of compliance and control.  AML/CFT specific activities related to the continuous control assessment might include: (1) Ongoing quality assurance, (2) Tracking training completion, (3) Periodic testing of data feeds into scanning and transaction monitoring systems, (4) Annual self-assessments of risks and controls, (5) Review of routine and ad hoc data analytic reports, and (6) Monthly analysis of key performance indicators. </w:t>
            </w:r>
          </w:p>
          <w:p w14:paraId="6E4E302C" w14:textId="77777777" w:rsidR="00352F37" w:rsidRDefault="00352F37" w:rsidP="007667A1">
            <w:pPr>
              <w:pStyle w:val="Para0"/>
            </w:pPr>
            <w:r w:rsidRPr="00DD7282">
              <w:rPr>
                <w:b/>
              </w:rPr>
              <w:t>2nd Line</w:t>
            </w:r>
            <w:r>
              <w:rPr>
                <w:b/>
              </w:rPr>
              <w:t xml:space="preserve"> of Defenc</w:t>
            </w:r>
            <w:r w:rsidRPr="00DD7282">
              <w:rPr>
                <w:b/>
              </w:rPr>
              <w:t>e (Control Functions)</w:t>
            </w:r>
            <w:r>
              <w:t xml:space="preserve"> – The independent mandates of an organization’s control functions. This generally includes Compliance and Risk, but may also include other support functions such as finance, actuarial and legal. Second line functions typically include setting standards related to the expectations associated with managing and overseeing risks, including compliance with applicable laws, regulatory requirements, policies, procedures, and standards of ethical conduct. In addition, the control functions provide advice and training to the 1st line of defence and establish tools, methodologies, processes and monitoring of controls used by the Businesses to foster a culture of compliance to satisfy those standards. The designated AML Officer and Compliance Function, which may or may not be held by the same person, support their respective businesses by providing regulatory compliance expertise and guidance in an advisory capacity to business management.  Specific activities related to the continuous control assessment might include: (1) Coordination and review of 1st line annual AML/CFT risk and control self-assessments, (2) Site visits and ongoing meetings with 1st line, (3) Separate testing of 1st line quality assurance, training, etc. (3) Engagement of outside </w:t>
            </w:r>
            <w:r>
              <w:lastRenderedPageBreak/>
              <w:t xml:space="preserve">consultants to perform control assessments, (4) Review and follow-up related findings and action plans stemming from Internal Audit, Regulatory or 3rd party examinations, and (5) Independent challenge related to compliance with new and existing local regulations.  The above activities support the AML Officer’s annual report to the organization’s Audit Committee, which includes the overall effectiveness of the AML/CFT Programme for the most recent year. </w:t>
            </w:r>
          </w:p>
          <w:p w14:paraId="6E4E302D" w14:textId="77777777" w:rsidR="00352F37" w:rsidRPr="00961F86" w:rsidRDefault="00352F37" w:rsidP="007667A1">
            <w:pPr>
              <w:pStyle w:val="Para0"/>
            </w:pPr>
            <w:r>
              <w:rPr>
                <w:b/>
              </w:rPr>
              <w:t>3rd Line of Defenc</w:t>
            </w:r>
            <w:r w:rsidRPr="00DD7282">
              <w:rPr>
                <w:b/>
              </w:rPr>
              <w:t>e (Internal Audit)</w:t>
            </w:r>
            <w:r>
              <w:t xml:space="preserve"> – The Internal Audit function independently reviews activities of the first two lines of defence supported by a risk-based audit plan and methodology generally approved by the Audit Committee of the Board of Directors.  The 3rd line’s independent assessment of AML/VTF controls are produced with an overall rating for the audit unit and individual ratings for the specific findings, which form the basis for quarterly reporting to the Audit Committee and the Chief Auditor’s year-end assessment of the effectiveness of the system of internal controls supporting the overall AML/CFT programme.</w:t>
            </w:r>
          </w:p>
        </w:tc>
      </w:tr>
    </w:tbl>
    <w:p w14:paraId="6E4E302F" w14:textId="77777777" w:rsidR="00352F37" w:rsidRDefault="00352F37" w:rsidP="00352F37">
      <w:pPr>
        <w:pStyle w:val="Heading3"/>
        <w:numPr>
          <w:ilvl w:val="2"/>
          <w:numId w:val="13"/>
        </w:numPr>
      </w:pPr>
      <w:bookmarkStart w:id="61" w:name="_Toc517968049"/>
      <w:r>
        <w:lastRenderedPageBreak/>
        <w:t>Policies and Procedures</w:t>
      </w:r>
      <w:bookmarkEnd w:id="61"/>
    </w:p>
    <w:p w14:paraId="6E4E3030" w14:textId="77777777" w:rsidR="00352F37" w:rsidRDefault="00352F37" w:rsidP="00352F37">
      <w:pPr>
        <w:pStyle w:val="Para"/>
      </w:pPr>
      <w:r>
        <w:t>As best practice, policies and procedures should:</w:t>
      </w:r>
    </w:p>
    <w:p w14:paraId="6E4E3031" w14:textId="77777777" w:rsidR="00352F37" w:rsidRDefault="00352F37" w:rsidP="00352F37">
      <w:pPr>
        <w:pStyle w:val="BulletedList"/>
        <w:numPr>
          <w:ilvl w:val="0"/>
          <w:numId w:val="23"/>
        </w:numPr>
      </w:pPr>
      <w:r>
        <w:t>Take into account national or sectoral risk assessments to ensure control processes address the level and types of ML/TF risk in their geographic region;</w:t>
      </w:r>
    </w:p>
    <w:p w14:paraId="6E4E3032" w14:textId="77777777" w:rsidR="00352F37" w:rsidRDefault="00352F37" w:rsidP="00352F37">
      <w:pPr>
        <w:pStyle w:val="BulletedList"/>
        <w:numPr>
          <w:ilvl w:val="0"/>
          <w:numId w:val="23"/>
        </w:numPr>
      </w:pPr>
      <w:r>
        <w:t>Place priority on the life insurer’s or intermediary’s operations (products, services, distribution, customers and geographic locations) that are more vulnerable to abuse, e.g., high premium, cash value products, non-resident policies or products that offer tax advantages to proposers or investors;</w:t>
      </w:r>
    </w:p>
    <w:p w14:paraId="6E4E3033" w14:textId="77777777" w:rsidR="00352F37" w:rsidRDefault="00352F37" w:rsidP="00352F37">
      <w:pPr>
        <w:pStyle w:val="BulletedList"/>
        <w:numPr>
          <w:ilvl w:val="0"/>
          <w:numId w:val="23"/>
        </w:numPr>
      </w:pPr>
      <w:r>
        <w:t>Provide for regular review of the risk assessment and risk management processes;</w:t>
      </w:r>
    </w:p>
    <w:p w14:paraId="6E4E3034" w14:textId="77777777" w:rsidR="00352F37" w:rsidRDefault="00352F37" w:rsidP="00352F37">
      <w:pPr>
        <w:pStyle w:val="BulletedList"/>
        <w:numPr>
          <w:ilvl w:val="0"/>
          <w:numId w:val="23"/>
        </w:numPr>
      </w:pPr>
      <w:r>
        <w:t>Ensure that adequate risk assessment and controls are in place before new products are offered;</w:t>
      </w:r>
    </w:p>
    <w:p w14:paraId="6E4E3035" w14:textId="77777777" w:rsidR="00352F37" w:rsidRDefault="00352F37" w:rsidP="00352F37">
      <w:pPr>
        <w:pStyle w:val="BulletedList"/>
        <w:numPr>
          <w:ilvl w:val="0"/>
          <w:numId w:val="23"/>
        </w:numPr>
      </w:pPr>
      <w:r>
        <w:t>Inform senior management of compliance initiatives, identified compliance deficiencies, corrective action taken, and relevant regulatory reporting (e.g., suspicious transaction reports (STRs);</w:t>
      </w:r>
    </w:p>
    <w:p w14:paraId="6E4E3036" w14:textId="77777777" w:rsidR="00352F37" w:rsidRDefault="00352F37" w:rsidP="00352F37">
      <w:pPr>
        <w:pStyle w:val="BulletedList"/>
        <w:numPr>
          <w:ilvl w:val="0"/>
          <w:numId w:val="23"/>
        </w:numPr>
      </w:pPr>
      <w:r>
        <w:t>Focus on meeting all appropriate regulatory record keeping and reporting requirements;</w:t>
      </w:r>
    </w:p>
    <w:p w14:paraId="6E4E3037" w14:textId="77777777" w:rsidR="00352F37" w:rsidRDefault="00352F37" w:rsidP="00352F37">
      <w:pPr>
        <w:pStyle w:val="BulletedList"/>
        <w:numPr>
          <w:ilvl w:val="0"/>
          <w:numId w:val="23"/>
        </w:numPr>
      </w:pPr>
      <w:r>
        <w:t xml:space="preserve"> Be updated regularly to take into account regulatory and operational developments;</w:t>
      </w:r>
    </w:p>
    <w:p w14:paraId="6E4E3038" w14:textId="77777777" w:rsidR="00352F37" w:rsidRDefault="00352F37" w:rsidP="00352F37">
      <w:pPr>
        <w:pStyle w:val="BulletedList"/>
        <w:numPr>
          <w:ilvl w:val="0"/>
          <w:numId w:val="23"/>
        </w:numPr>
      </w:pPr>
      <w:r>
        <w:t>Enable the timely identification and filing of STRs; and</w:t>
      </w:r>
    </w:p>
    <w:p w14:paraId="6E4E3039" w14:textId="77777777" w:rsidR="00352F37" w:rsidRDefault="00352F37" w:rsidP="00352F37">
      <w:pPr>
        <w:pStyle w:val="BulletedList"/>
        <w:numPr>
          <w:ilvl w:val="0"/>
          <w:numId w:val="23"/>
        </w:numPr>
      </w:pPr>
      <w:r>
        <w:t xml:space="preserve">Provide for adequate supervision of employees who handle customer </w:t>
      </w:r>
      <w:proofErr w:type="spellStart"/>
      <w:r>
        <w:t>onboarding</w:t>
      </w:r>
      <w:proofErr w:type="spellEnd"/>
      <w:r>
        <w:t>, transactions (including non-financial transactions such as assignments), management reporting, grant exemptions, monitor for suspicious activity, or engage in any other activity that forms part of the business’s AML/CFT programme.</w:t>
      </w:r>
    </w:p>
    <w:p w14:paraId="6E4E303A" w14:textId="77777777" w:rsidR="00352F37" w:rsidRDefault="00352F37" w:rsidP="00352F37">
      <w:pPr>
        <w:pStyle w:val="Para"/>
      </w:pPr>
      <w:r>
        <w:t xml:space="preserve">Policies and procedures applicable to AML/CFT controls should be consistent and can be integrated with the broader set of controls in place to address business, </w:t>
      </w:r>
      <w:r>
        <w:lastRenderedPageBreak/>
        <w:t xml:space="preserve">financial and operating risks generally.  This means that some of the above recommended policies and procedures might be specific to AML/CFT, whereas others might be incorporated into other policies and procedure with broader applications. </w:t>
      </w:r>
    </w:p>
    <w:p w14:paraId="6E4E303B" w14:textId="77777777" w:rsidR="00352F37" w:rsidRDefault="00352F37" w:rsidP="00352F37">
      <w:pPr>
        <w:pStyle w:val="Para"/>
      </w:pPr>
      <w:r>
        <w:t>For domestic and international insurance groups, and insurers or intermediaries that are part of financial groups or conglomerates, there should be policies and internal controls in place for a consistent approach to AML/CFT controls across the group.  The group policies and guidelines should be further supplemented to include regulatory requirements specific to the local jurisdiction, and take into account the relevant recommendations in the IAIS’s ICP 22, ICP 23 and ICP 25</w:t>
      </w:r>
      <w:r>
        <w:rPr>
          <w:rStyle w:val="FootnoteReference"/>
        </w:rPr>
        <w:footnoteReference w:id="29"/>
      </w:r>
      <w:r>
        <w:t>.</w:t>
      </w:r>
    </w:p>
    <w:p w14:paraId="6E4E303C" w14:textId="77777777" w:rsidR="00352F37" w:rsidRDefault="00352F37" w:rsidP="00352F37">
      <w:pPr>
        <w:pStyle w:val="Heading2"/>
        <w:numPr>
          <w:ilvl w:val="1"/>
          <w:numId w:val="13"/>
        </w:numPr>
      </w:pPr>
      <w:bookmarkStart w:id="62" w:name="_Toc509840565"/>
      <w:bookmarkStart w:id="63" w:name="_Toc517968050"/>
      <w:r>
        <w:t>Culture and “Tone –from the Top”</w:t>
      </w:r>
      <w:bookmarkEnd w:id="62"/>
      <w:bookmarkEnd w:id="63"/>
    </w:p>
    <w:p w14:paraId="6E4E303D" w14:textId="77777777" w:rsidR="00352F37" w:rsidRDefault="00352F37" w:rsidP="00352F37">
      <w:pPr>
        <w:pStyle w:val="Para"/>
      </w:pPr>
      <w:r>
        <w:t>The successful implementation and effective operation of a RBA to AML/CFT depends on strong support and active oversight from senior management. Senior management should promote AML/CFT compliance as a core value by sending clear messages that ML/TF risks should be identified and mitigated before entering into business relationships, and that business relationships should not be established when ML/TF risks cannot be properly mitigated and managed in a manner consistent with internal AML/CFT compliance procedures.</w:t>
      </w:r>
    </w:p>
    <w:p w14:paraId="6E4E303E" w14:textId="77777777" w:rsidR="00352F37" w:rsidRDefault="00352F37" w:rsidP="00352F37">
      <w:pPr>
        <w:pStyle w:val="Para"/>
      </w:pPr>
      <w:r>
        <w:t>In the case of international insurance groups, senior management at group level should ensure that senior management within each entity also promote AML/CFT as a core value.</w:t>
      </w:r>
    </w:p>
    <w:p w14:paraId="6E4E303F" w14:textId="77777777" w:rsidR="00352F37" w:rsidRDefault="00352F37" w:rsidP="00352F37">
      <w:pPr>
        <w:pStyle w:val="Para"/>
      </w:pPr>
      <w:r>
        <w:t xml:space="preserve">An essential element of “Tone from the Top” is that senior management and the Board of Directors (or equivalent body) should require and receive periodic updates on the status of AML/CFT compliance programme, review, and engage with those updates. To that end, employees at all levels need to be involved in preventing ML/TF, and the relevant information collected needs to be reported to the top management. Senior management, with the oversight and support of the Board of Directors (or equivalent body), should also ensure that sufficient compliance resources are in place to meet the requirements of the AML/CFT compliance programme. </w:t>
      </w:r>
    </w:p>
    <w:p w14:paraId="6E4E3041" w14:textId="77777777" w:rsidR="00352F37" w:rsidRDefault="00352F37" w:rsidP="00352F37">
      <w:pPr>
        <w:pStyle w:val="Para"/>
      </w:pPr>
      <w:r>
        <w:t xml:space="preserve">While responsibility for the consistency and effectiveness of AML/CFT controls rests with the AML/CFT compliance officer, the execution of these controls is conducted by first line operational staff and is the responsibility of senior and operational management. Senior management is responsible for approving measures needed to mitigate ML/TF risks and for determining the level of residual risk the life insurer or intermediary is prepared to accept; and is responsible to adequately resource the life insurer’s or intermediary’s AML/CFT function.  Accordingly, senior management should not only know about the ML/TF risks to which the life insurer or intermediary is exposed but also understand how its AML/CFT control framework operates to mitigate those risks. </w:t>
      </w:r>
    </w:p>
    <w:p w14:paraId="6E4E3042" w14:textId="77777777" w:rsidR="00352F37" w:rsidRDefault="00352F37" w:rsidP="00352F37">
      <w:pPr>
        <w:pStyle w:val="Para"/>
      </w:pPr>
      <w:r>
        <w:t xml:space="preserve">The top of the governance hierarchy for AML/CFT compliance at the life insurer or intermediary is the Board of Directors (or equivalent body), which itself or through a Board committee should set the tone for the programme and ensure it is satisfied that </w:t>
      </w:r>
      <w:r>
        <w:lastRenderedPageBreak/>
        <w:t>senior management has implemented an appropriate AML/CFT compliance programme that is commensurate to the ML/TF risks of the life insurer or intermediary.</w:t>
      </w:r>
    </w:p>
    <w:p w14:paraId="6E4E3043" w14:textId="649D4880" w:rsidR="00352F37" w:rsidRDefault="00352F37" w:rsidP="00352F37">
      <w:pPr>
        <w:pStyle w:val="Para"/>
      </w:pPr>
      <w:r>
        <w:t>The responsibilities of the Board of Directors (or equivalent body) of the life insurer and, in many cases, intermediaries, includes having an awareness of the relevant ML/FT risks. It also requires them to be satisfied that senior management has implemented an appropriate AML/CFT compliance programme that is commensurate to the ML/TF risks of the life insurer or intermediary.  This responsibility can be met through periodic updates on the AML/CFT compliance programme being given to the Board or a committee of the Board such as an Audit or Risk Committee.</w:t>
      </w:r>
    </w:p>
    <w:p w14:paraId="6E4E3044" w14:textId="77777777" w:rsidR="00352F37" w:rsidRDefault="00352F37" w:rsidP="00352F37">
      <w:pPr>
        <w:pStyle w:val="Para"/>
      </w:pPr>
      <w:r>
        <w:t>Life insurers or intermediaries are required to have an independent audit function periodically test the AML/CFT compliance programme with a view to establishing the effectiveness of its AML/CFT policies and processes.  A summary of these audits should be included in the periodic AML/CFT updates provided to the Board or Board committee. In the case of international life insurance groups, the Boards of Directors at both group level and individual entity level have these responsibilities.</w:t>
      </w:r>
    </w:p>
    <w:p w14:paraId="6E4E3045" w14:textId="77777777" w:rsidR="00352F37" w:rsidRDefault="00352F37" w:rsidP="00352F37">
      <w:pPr>
        <w:pStyle w:val="Heading2"/>
        <w:numPr>
          <w:ilvl w:val="1"/>
          <w:numId w:val="13"/>
        </w:numPr>
      </w:pPr>
      <w:bookmarkStart w:id="64" w:name="_Toc509840566"/>
      <w:bookmarkStart w:id="65" w:name="_Toc517968051"/>
      <w:r>
        <w:t>Human Resources - Personnel</w:t>
      </w:r>
      <w:bookmarkEnd w:id="64"/>
      <w:bookmarkEnd w:id="65"/>
    </w:p>
    <w:p w14:paraId="6E4E3046" w14:textId="77777777" w:rsidR="00352F37" w:rsidRDefault="00352F37" w:rsidP="00352F37">
      <w:pPr>
        <w:pStyle w:val="Para"/>
      </w:pPr>
      <w:r>
        <w:t xml:space="preserve">A life insurer’s or intermediary’s internal control environment should be conducive to assuring the integrity, competence and compliance of staff through relevant policies and procedures. </w:t>
      </w:r>
    </w:p>
    <w:p w14:paraId="6E4E3047" w14:textId="77777777" w:rsidR="00352F37" w:rsidRDefault="00352F37" w:rsidP="00352F37">
      <w:pPr>
        <w:pStyle w:val="Para"/>
      </w:pPr>
      <w:r>
        <w:t xml:space="preserve">The level of vetting procedures of staff should reflect the ML/TF risks to which individual staff are exposed and not focus merely on senior management roles. It is good practice to manage potential conflicts of interest for staff with AML/CFT responsibilities. </w:t>
      </w:r>
    </w:p>
    <w:p w14:paraId="6E4E3048" w14:textId="77777777" w:rsidR="00352F37" w:rsidRDefault="00352F37" w:rsidP="00352F37">
      <w:pPr>
        <w:pStyle w:val="Heading2"/>
        <w:numPr>
          <w:ilvl w:val="1"/>
          <w:numId w:val="13"/>
        </w:numPr>
      </w:pPr>
      <w:bookmarkStart w:id="66" w:name="_Toc509840567"/>
      <w:bookmarkStart w:id="67" w:name="_Toc517968052"/>
      <w:r>
        <w:t>Training and communication</w:t>
      </w:r>
      <w:bookmarkEnd w:id="66"/>
      <w:bookmarkEnd w:id="67"/>
    </w:p>
    <w:p w14:paraId="6E4E3049" w14:textId="77777777" w:rsidR="00352F37" w:rsidRDefault="00352F37" w:rsidP="00352F37">
      <w:pPr>
        <w:pStyle w:val="Para"/>
      </w:pPr>
      <w:r>
        <w:t>Effective application of AML/CFT policies and procedures depends on the employees of life insurers and intermediaries understanding the control procedures they are required to follow, and the risks (including possible consequences) these controls are designed to mitigate. It is therefore important that employees, and where relevant intermediaries, receive AML/CFT training, which should be:</w:t>
      </w:r>
    </w:p>
    <w:p w14:paraId="6E4E304A" w14:textId="77777777" w:rsidR="00352F37" w:rsidRDefault="00352F37" w:rsidP="00352F37">
      <w:pPr>
        <w:pStyle w:val="BulletedList"/>
        <w:numPr>
          <w:ilvl w:val="0"/>
          <w:numId w:val="23"/>
        </w:numPr>
      </w:pPr>
      <w:r>
        <w:t>Relevant to the life insurer’ or intermediary’s business activities and ML/TF risks</w:t>
      </w:r>
    </w:p>
    <w:p w14:paraId="6E4E304B" w14:textId="77777777" w:rsidR="00352F37" w:rsidRDefault="00352F37" w:rsidP="00352F37">
      <w:pPr>
        <w:pStyle w:val="BulletedList"/>
        <w:numPr>
          <w:ilvl w:val="0"/>
          <w:numId w:val="23"/>
        </w:numPr>
      </w:pPr>
      <w:r>
        <w:t>Up to date with the latest  internal and regulatory requirements</w:t>
      </w:r>
    </w:p>
    <w:p w14:paraId="6E4E304C" w14:textId="77777777" w:rsidR="00352F37" w:rsidRDefault="00352F37" w:rsidP="00352F37">
      <w:pPr>
        <w:pStyle w:val="BulletedList"/>
        <w:numPr>
          <w:ilvl w:val="0"/>
          <w:numId w:val="23"/>
        </w:numPr>
      </w:pPr>
      <w:r>
        <w:t>Tailored to operational areas of the life insurer or intermediary</w:t>
      </w:r>
    </w:p>
    <w:p w14:paraId="6E4E304D" w14:textId="77777777" w:rsidR="00352F37" w:rsidRDefault="00352F37" w:rsidP="00352F37">
      <w:pPr>
        <w:pStyle w:val="BulletedList"/>
        <w:numPr>
          <w:ilvl w:val="0"/>
          <w:numId w:val="23"/>
        </w:numPr>
      </w:pPr>
      <w:r>
        <w:t>Ongoing and not just a one-off exercise when staff are hired</w:t>
      </w:r>
    </w:p>
    <w:p w14:paraId="6E4E304E" w14:textId="77777777" w:rsidR="00352F37" w:rsidRDefault="00352F37" w:rsidP="00352F37">
      <w:pPr>
        <w:pStyle w:val="BulletedList"/>
        <w:numPr>
          <w:ilvl w:val="0"/>
          <w:numId w:val="23"/>
        </w:numPr>
      </w:pPr>
      <w:r>
        <w:t>Complemented by updates on AML/CFT requirements and awareness initiatives</w:t>
      </w:r>
    </w:p>
    <w:p w14:paraId="6E4E304F" w14:textId="77777777" w:rsidR="00352F37" w:rsidRDefault="00352F37" w:rsidP="00352F37">
      <w:pPr>
        <w:pStyle w:val="Para"/>
      </w:pPr>
      <w:r>
        <w:t>Life insurers and intermediaries should have processes to confirm that employees have integrity, are adequately skilled and possess the knowledge and expertise necessary to carry out their function.</w:t>
      </w:r>
    </w:p>
    <w:p w14:paraId="6E4E3050" w14:textId="77777777" w:rsidR="00352F37" w:rsidRDefault="00352F37" w:rsidP="00352F37">
      <w:pPr>
        <w:pStyle w:val="Para"/>
      </w:pPr>
      <w:r>
        <w:t xml:space="preserve">Senior management and the Board of Directors (or equivalent body) should also receive periodic AML/CFT training to support their understanding and oversight of the life insurer or intermediary’s AML/CFT programme.  </w:t>
      </w:r>
    </w:p>
    <w:p w14:paraId="6E4E3051" w14:textId="77777777" w:rsidR="00352F37" w:rsidRPr="00E12B7C" w:rsidRDefault="00352F37" w:rsidP="00352F37">
      <w:pPr>
        <w:pStyle w:val="Para"/>
      </w:pPr>
      <w:r>
        <w:lastRenderedPageBreak/>
        <w:t xml:space="preserve">Training should be supported by a communication strategy, which ensures any changes to policies are notified to all staff and to ensure that staff is periodically reminded of their responsibilities. The communications can be prompted by external or internal issues and can take a number of different forms. </w:t>
      </w:r>
    </w:p>
    <w:p w14:paraId="6E4E3052" w14:textId="77777777" w:rsidR="00352F37" w:rsidRDefault="00352F37" w:rsidP="00352F37">
      <w:pPr>
        <w:pStyle w:val="Heading6"/>
        <w:numPr>
          <w:ilvl w:val="5"/>
          <w:numId w:val="13"/>
        </w:numPr>
      </w:pPr>
      <w:bookmarkStart w:id="68" w:name="_Toc509840568"/>
      <w:r>
        <w:t>SECTION III – GUIDANCE FOR SUPERVISORS</w:t>
      </w:r>
      <w:bookmarkEnd w:id="68"/>
    </w:p>
    <w:p w14:paraId="6E4E3053" w14:textId="77777777" w:rsidR="00352F37" w:rsidRDefault="00352F37" w:rsidP="00352F37">
      <w:pPr>
        <w:pStyle w:val="Para"/>
      </w:pPr>
      <w:r>
        <w:t>The RBA to AML/CFT aims to develop prevention or mitigation measures which are commensurate with the ML/TF risks identified. In the case of supervision, this applies to the way supervisory authorities allocate their resources. It also applies to supervisors adapting their functions in a way that is conducive to their own risk assessment of the life insurance market in their country.</w:t>
      </w:r>
    </w:p>
    <w:p w14:paraId="6E4E3054" w14:textId="77777777" w:rsidR="00352F37" w:rsidRDefault="00352F37" w:rsidP="00352F37">
      <w:pPr>
        <w:pStyle w:val="Heading1"/>
        <w:numPr>
          <w:ilvl w:val="0"/>
          <w:numId w:val="13"/>
        </w:numPr>
      </w:pPr>
      <w:bookmarkStart w:id="69" w:name="_Toc509840569"/>
      <w:bookmarkStart w:id="70" w:name="_Toc517968053"/>
      <w:r>
        <w:t>RISK BASED APPROACH TO SUPERVISION</w:t>
      </w:r>
      <w:bookmarkEnd w:id="69"/>
      <w:bookmarkEnd w:id="70"/>
      <w:r w:rsidRPr="00564137">
        <w:t xml:space="preserve"> </w:t>
      </w:r>
    </w:p>
    <w:p w14:paraId="6E4E3055" w14:textId="77777777" w:rsidR="00352F37" w:rsidRDefault="00352F37" w:rsidP="00352F37">
      <w:pPr>
        <w:pStyle w:val="Para"/>
      </w:pPr>
      <w:r>
        <w:t xml:space="preserve">Recommendation 26 requires countries to subject life insurers and intermediaries to effective systems for AML/CFT supervision and/or monitoring. INR 26 requires supervisors to allocate greater supervisory resources to areas of higher ML/TF risk, on the basis that they understand the ML/TF risk in their country and in the market subjected to their control and have on-site and off-site access to all relevant information for determining insurers or intermediaries’ risk profile. </w:t>
      </w:r>
    </w:p>
    <w:tbl>
      <w:tblPr>
        <w:tblW w:w="478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096"/>
      </w:tblGrid>
      <w:tr w:rsidR="00352F37" w:rsidRPr="00961F86" w14:paraId="6E4E3059" w14:textId="77777777" w:rsidTr="007667A1">
        <w:trPr>
          <w:jc w:val="center"/>
        </w:trPr>
        <w:tc>
          <w:tcPr>
            <w:tcW w:w="5000" w:type="pct"/>
            <w:shd w:val="clear" w:color="auto" w:fill="EDF0F7"/>
          </w:tcPr>
          <w:p w14:paraId="6E4E3056" w14:textId="77777777" w:rsidR="00352F37" w:rsidRPr="00E80D35" w:rsidRDefault="00352F37" w:rsidP="007667A1">
            <w:pPr>
              <w:pStyle w:val="BoxHeading"/>
              <w:jc w:val="center"/>
              <w:rPr>
                <w:sz w:val="22"/>
                <w:szCs w:val="22"/>
              </w:rPr>
            </w:pPr>
            <w:r w:rsidRPr="00E80D35">
              <w:rPr>
                <w:sz w:val="22"/>
                <w:szCs w:val="22"/>
              </w:rPr>
              <w:t>Box </w:t>
            </w:r>
            <w:r w:rsidRPr="00E80D35">
              <w:rPr>
                <w:sz w:val="22"/>
                <w:szCs w:val="22"/>
              </w:rPr>
              <w:fldChar w:fldCharType="begin"/>
            </w:r>
            <w:r w:rsidRPr="00E80D35">
              <w:rPr>
                <w:sz w:val="22"/>
                <w:szCs w:val="22"/>
              </w:rPr>
              <w:instrText xml:space="preserve"> SEQ Box \* ARABIC </w:instrText>
            </w:r>
            <w:r w:rsidRPr="00E80D35">
              <w:rPr>
                <w:sz w:val="22"/>
                <w:szCs w:val="22"/>
              </w:rPr>
              <w:fldChar w:fldCharType="separate"/>
            </w:r>
            <w:r w:rsidR="006E4FC1" w:rsidRPr="00E80D35">
              <w:rPr>
                <w:noProof/>
                <w:sz w:val="22"/>
                <w:szCs w:val="22"/>
              </w:rPr>
              <w:t>2</w:t>
            </w:r>
            <w:r w:rsidRPr="00E80D35">
              <w:rPr>
                <w:noProof/>
                <w:sz w:val="22"/>
                <w:szCs w:val="22"/>
              </w:rPr>
              <w:fldChar w:fldCharType="end"/>
            </w:r>
            <w:r w:rsidRPr="00E80D35">
              <w:rPr>
                <w:sz w:val="22"/>
                <w:szCs w:val="22"/>
              </w:rPr>
              <w:t>. Recommendation 26: Regulation and Supervision of Financial Institutions</w:t>
            </w:r>
          </w:p>
          <w:p w14:paraId="6E4E3057" w14:textId="77777777" w:rsidR="00352F37" w:rsidRPr="00DB52A0" w:rsidRDefault="00352F37" w:rsidP="007667A1">
            <w:pPr>
              <w:pStyle w:val="Para0"/>
              <w:tabs>
                <w:tab w:val="left" w:pos="9356"/>
              </w:tabs>
              <w:ind w:left="0" w:right="0"/>
              <w:rPr>
                <w:szCs w:val="22"/>
              </w:rPr>
            </w:pPr>
            <w:r w:rsidRPr="00DB52A0">
              <w:rPr>
                <w:szCs w:val="22"/>
              </w:rPr>
              <w:t>[…..]</w:t>
            </w:r>
            <w:r>
              <w:rPr>
                <w:szCs w:val="22"/>
              </w:rPr>
              <w:t xml:space="preserve"> </w:t>
            </w:r>
            <w:r w:rsidRPr="00DB52A0">
              <w:rPr>
                <w:szCs w:val="22"/>
              </w:rPr>
              <w:t>For financial institutions (insurers) subject to the Core Principles, the regulatory and supervisory measures that apply for prudential purposes, and which are also relevant to money laundering and terrorist financing, should apply in a similar manner for AML/CFT purposes. This should include applying consolidated group supervision for AML/CFT purposes.</w:t>
            </w:r>
          </w:p>
          <w:p w14:paraId="6E4E3058" w14:textId="77777777" w:rsidR="00352F37" w:rsidRPr="00DB52A0" w:rsidRDefault="00352F37" w:rsidP="007667A1">
            <w:pPr>
              <w:pStyle w:val="Para0"/>
              <w:tabs>
                <w:tab w:val="left" w:pos="9356"/>
              </w:tabs>
              <w:ind w:left="0" w:right="0"/>
              <w:rPr>
                <w:szCs w:val="22"/>
              </w:rPr>
            </w:pPr>
            <w:r w:rsidRPr="00DB52A0">
              <w:rPr>
                <w:szCs w:val="22"/>
              </w:rPr>
              <w:t>Other financial institutions (for intermediaries) should be licensed or registered and adequately regulated, and subject to supervision or monitoring for AML/CFT purposes, having regard to the risk of money laundering or terrorist financing in that sector. […..]</w:t>
            </w:r>
          </w:p>
        </w:tc>
      </w:tr>
    </w:tbl>
    <w:p w14:paraId="6E4E305A" w14:textId="77777777" w:rsidR="00352F37" w:rsidRPr="009557D2" w:rsidRDefault="00352F37" w:rsidP="00352F37">
      <w:pPr>
        <w:pStyle w:val="Heading2"/>
        <w:numPr>
          <w:ilvl w:val="1"/>
          <w:numId w:val="13"/>
        </w:numPr>
      </w:pPr>
      <w:bookmarkStart w:id="71" w:name="_Toc517968054"/>
      <w:r w:rsidRPr="009557D2">
        <w:t>Understanding and assessing the ML/TF risks</w:t>
      </w:r>
      <w:bookmarkEnd w:id="71"/>
    </w:p>
    <w:p w14:paraId="6E4E305B" w14:textId="77777777" w:rsidR="00352F37" w:rsidRPr="009557D2" w:rsidRDefault="00352F37" w:rsidP="00352F37">
      <w:pPr>
        <w:pStyle w:val="Heading3"/>
        <w:numPr>
          <w:ilvl w:val="2"/>
          <w:numId w:val="13"/>
        </w:numPr>
      </w:pPr>
      <w:bookmarkStart w:id="72" w:name="_Toc509840570"/>
      <w:bookmarkStart w:id="73" w:name="_Toc517968055"/>
      <w:r w:rsidRPr="009557D2">
        <w:t>Risks, threats and vulnerabilities of the life insurance sector</w:t>
      </w:r>
      <w:bookmarkEnd w:id="72"/>
      <w:bookmarkEnd w:id="73"/>
    </w:p>
    <w:p w14:paraId="6E4E305C" w14:textId="77777777" w:rsidR="00352F37" w:rsidRPr="00F45E22" w:rsidRDefault="00352F37" w:rsidP="00352F37">
      <w:pPr>
        <w:pStyle w:val="Para"/>
      </w:pPr>
      <w:r>
        <w:t xml:space="preserve">Life insurers’ and intermediaries’ supervisors should develop a deep understanding of the life insurance market, its products, its structure (including distribution channels), target markets (including domestic and international, if sales to non-residents are permitted) and role in the financial system and the country’s economy </w:t>
      </w:r>
      <w:r>
        <w:lastRenderedPageBreak/>
        <w:t xml:space="preserve">to better inform risk assessment of the sector in accordance with the main findings of the national risk assessment. </w:t>
      </w:r>
    </w:p>
    <w:p w14:paraId="6E4E305D" w14:textId="77777777" w:rsidR="00352F37" w:rsidRPr="00F45E22" w:rsidRDefault="00352F37" w:rsidP="00352F37">
      <w:pPr>
        <w:pStyle w:val="Para"/>
      </w:pPr>
      <w:r>
        <w:t xml:space="preserve">Supervisors should determine whether features of certain life insurance products, such as the part of investment products (i.e., unit linked as higher risk products), pose a higher ML/TF risk. Amongst other features is the part of life-insurance business invested in premium that is concentrated in bank-owned insurance entities. </w:t>
      </w:r>
      <w:r w:rsidRPr="00F45E22">
        <w:t xml:space="preserve">In the case of insurance undertakings that are part of banking groups, there is a leveraging effect of the compliance function by the holding company. Therefore at the group level, similar AML/CFT policies, processes and controls apply to the banking parent company and amongst insurance subsidiaries and branches. </w:t>
      </w:r>
    </w:p>
    <w:p w14:paraId="6E4E305E" w14:textId="77777777" w:rsidR="00352F37" w:rsidRPr="00F45E22" w:rsidRDefault="00352F37" w:rsidP="00352F37">
      <w:pPr>
        <w:pStyle w:val="Para"/>
      </w:pPr>
      <w:r w:rsidRPr="00F45E22">
        <w:t>A sectoral life insurance risk assessment should be done by the insurance supervisor by taking advantage of the analyses conducted as part of the national risk assessment process, and of the conclusions of this assessment. This is a continuous process where the sectoral risk assessment will feed into the national risk assessment and vice-versa.</w:t>
      </w:r>
      <w:r w:rsidRPr="00CE0997">
        <w:t xml:space="preserve"> </w:t>
      </w:r>
      <w:r>
        <w:t>Where applicable, supervisors could take into account international typologies and FIU feedback. Supervisors could also look at the risks identified within individual firms and determine how this could impact or whether this is relevant to the national sector as a whole.</w:t>
      </w:r>
    </w:p>
    <w:p w14:paraId="6E4E305F" w14:textId="77777777" w:rsidR="00352F37" w:rsidRDefault="00352F37" w:rsidP="00352F37">
      <w:pPr>
        <w:pStyle w:val="Para"/>
      </w:pPr>
      <w:r>
        <w:t xml:space="preserve">At a national level, the country and competent authorities should determine and assess the main characteristics and ML/TF risks of the life insurance sector to determine their approach to supervision. Relevant risks factors may include the following: </w:t>
      </w:r>
    </w:p>
    <w:p w14:paraId="6E4E3060" w14:textId="77777777" w:rsidR="00352F37" w:rsidRDefault="00352F37" w:rsidP="00352F37">
      <w:pPr>
        <w:pStyle w:val="BulletedList"/>
        <w:numPr>
          <w:ilvl w:val="0"/>
          <w:numId w:val="23"/>
        </w:numPr>
      </w:pPr>
      <w:r>
        <w:t>Political and legal environment.</w:t>
      </w:r>
    </w:p>
    <w:p w14:paraId="6E4E3061" w14:textId="77777777" w:rsidR="00352F37" w:rsidRDefault="00352F37" w:rsidP="00352F37">
      <w:pPr>
        <w:pStyle w:val="BulletedList"/>
        <w:numPr>
          <w:ilvl w:val="0"/>
          <w:numId w:val="23"/>
        </w:numPr>
      </w:pPr>
      <w:r>
        <w:t>Country's economic structure and tax policies.</w:t>
      </w:r>
    </w:p>
    <w:p w14:paraId="6E4E3062" w14:textId="77777777" w:rsidR="00352F37" w:rsidRDefault="00352F37" w:rsidP="00352F37">
      <w:pPr>
        <w:pStyle w:val="BulletedList"/>
        <w:numPr>
          <w:ilvl w:val="0"/>
          <w:numId w:val="23"/>
        </w:numPr>
      </w:pPr>
      <w:r>
        <w:t>Cultural factors and the nature of civil society.</w:t>
      </w:r>
    </w:p>
    <w:p w14:paraId="6E4E3063" w14:textId="77777777" w:rsidR="00352F37" w:rsidRDefault="00352F37" w:rsidP="00352F37">
      <w:pPr>
        <w:pStyle w:val="BulletedList"/>
        <w:numPr>
          <w:ilvl w:val="0"/>
          <w:numId w:val="23"/>
        </w:numPr>
      </w:pPr>
      <w:r>
        <w:t>Sources, location and concentration of criminal activity.</w:t>
      </w:r>
    </w:p>
    <w:p w14:paraId="6E4E3064" w14:textId="77777777" w:rsidR="00352F37" w:rsidRDefault="00352F37" w:rsidP="00352F37">
      <w:pPr>
        <w:pStyle w:val="BulletedList"/>
        <w:numPr>
          <w:ilvl w:val="0"/>
          <w:numId w:val="23"/>
        </w:numPr>
      </w:pPr>
      <w:r>
        <w:t>Size of the life insurance industry.</w:t>
      </w:r>
    </w:p>
    <w:p w14:paraId="6E4E3065" w14:textId="77777777" w:rsidR="00352F37" w:rsidRDefault="00352F37" w:rsidP="00352F37">
      <w:pPr>
        <w:pStyle w:val="BulletedList"/>
        <w:numPr>
          <w:ilvl w:val="0"/>
          <w:numId w:val="23"/>
        </w:numPr>
      </w:pPr>
      <w:r>
        <w:t>Composition of the life insurance industry.</w:t>
      </w:r>
    </w:p>
    <w:p w14:paraId="6E4E3066" w14:textId="77777777" w:rsidR="00352F37" w:rsidRDefault="00352F37" w:rsidP="00352F37">
      <w:pPr>
        <w:pStyle w:val="BulletedList"/>
        <w:numPr>
          <w:ilvl w:val="0"/>
          <w:numId w:val="23"/>
        </w:numPr>
      </w:pPr>
      <w:r>
        <w:t>Ownership structure of life insurers and intermediaries.</w:t>
      </w:r>
    </w:p>
    <w:p w14:paraId="6E4E3067" w14:textId="77777777" w:rsidR="00352F37" w:rsidRDefault="00352F37" w:rsidP="00352F37">
      <w:pPr>
        <w:pStyle w:val="BulletedList"/>
        <w:numPr>
          <w:ilvl w:val="0"/>
          <w:numId w:val="23"/>
        </w:numPr>
      </w:pPr>
      <w:r>
        <w:t>Corporate governance arrangements in life insurers and intermediaries and the wider economy.</w:t>
      </w:r>
    </w:p>
    <w:p w14:paraId="6E4E3068" w14:textId="77777777" w:rsidR="00352F37" w:rsidRDefault="00352F37" w:rsidP="00352F37">
      <w:pPr>
        <w:pStyle w:val="BulletedList"/>
        <w:numPr>
          <w:ilvl w:val="0"/>
          <w:numId w:val="23"/>
        </w:numPr>
      </w:pPr>
      <w:r>
        <w:t>The nature of payment systems and the prevalence of cash-based transactions.</w:t>
      </w:r>
    </w:p>
    <w:p w14:paraId="6E4E3069" w14:textId="77777777" w:rsidR="00352F37" w:rsidRDefault="00352F37" w:rsidP="00352F37">
      <w:pPr>
        <w:pStyle w:val="BulletedList"/>
        <w:numPr>
          <w:ilvl w:val="0"/>
          <w:numId w:val="23"/>
        </w:numPr>
      </w:pPr>
      <w:r>
        <w:t>Geographical spread of insurance industry's operations and customers.</w:t>
      </w:r>
    </w:p>
    <w:p w14:paraId="6E4E306A" w14:textId="77777777" w:rsidR="00352F37" w:rsidRDefault="00352F37" w:rsidP="00352F37">
      <w:pPr>
        <w:pStyle w:val="BulletedList"/>
        <w:numPr>
          <w:ilvl w:val="0"/>
          <w:numId w:val="23"/>
        </w:numPr>
      </w:pPr>
      <w:r>
        <w:t>Types of products and services offered by life insurers (including, if any, life insurance wrappers).</w:t>
      </w:r>
    </w:p>
    <w:p w14:paraId="6E4E306B" w14:textId="77777777" w:rsidR="00352F37" w:rsidRDefault="00352F37" w:rsidP="00352F37">
      <w:pPr>
        <w:pStyle w:val="BulletedList"/>
        <w:numPr>
          <w:ilvl w:val="0"/>
          <w:numId w:val="23"/>
        </w:numPr>
      </w:pPr>
      <w:r>
        <w:t>Types of customers serviced by life insurers.</w:t>
      </w:r>
    </w:p>
    <w:p w14:paraId="6E4E306C" w14:textId="77777777" w:rsidR="00352F37" w:rsidRDefault="00352F37" w:rsidP="00352F37">
      <w:pPr>
        <w:pStyle w:val="BulletedList"/>
        <w:numPr>
          <w:ilvl w:val="0"/>
          <w:numId w:val="23"/>
        </w:numPr>
      </w:pPr>
      <w:r>
        <w:t>Types of most frequently occurring predicate offences.</w:t>
      </w:r>
    </w:p>
    <w:p w14:paraId="6E4E306D" w14:textId="77777777" w:rsidR="00352F37" w:rsidRDefault="00352F37" w:rsidP="00352F37">
      <w:pPr>
        <w:pStyle w:val="BulletedList"/>
        <w:numPr>
          <w:ilvl w:val="0"/>
          <w:numId w:val="23"/>
        </w:numPr>
      </w:pPr>
      <w:r>
        <w:t>Amounts of illicit money generated domestically.</w:t>
      </w:r>
    </w:p>
    <w:p w14:paraId="6E4E306E" w14:textId="77777777" w:rsidR="00352F37" w:rsidRDefault="00352F37" w:rsidP="00352F37">
      <w:pPr>
        <w:pStyle w:val="BulletedList"/>
        <w:numPr>
          <w:ilvl w:val="0"/>
          <w:numId w:val="23"/>
        </w:numPr>
      </w:pPr>
      <w:r>
        <w:t>Amounts of illicit money generated abroad and laundered domestically.</w:t>
      </w:r>
    </w:p>
    <w:p w14:paraId="6E4E306F" w14:textId="77777777" w:rsidR="00352F37" w:rsidRDefault="00352F37" w:rsidP="00352F37">
      <w:pPr>
        <w:pStyle w:val="BulletedList"/>
        <w:numPr>
          <w:ilvl w:val="0"/>
          <w:numId w:val="23"/>
        </w:numPr>
      </w:pPr>
      <w:r>
        <w:t>Main channels or instruments used for ML/TF.</w:t>
      </w:r>
    </w:p>
    <w:p w14:paraId="6E4E3070" w14:textId="77777777" w:rsidR="00352F37" w:rsidRDefault="00352F37" w:rsidP="00352F37">
      <w:pPr>
        <w:pStyle w:val="BulletedList"/>
        <w:numPr>
          <w:ilvl w:val="0"/>
          <w:numId w:val="23"/>
        </w:numPr>
      </w:pPr>
      <w:r>
        <w:lastRenderedPageBreak/>
        <w:t>Weight of the informal economy</w:t>
      </w:r>
    </w:p>
    <w:p w14:paraId="6E4E3071" w14:textId="77777777" w:rsidR="00352F37" w:rsidRDefault="00352F37" w:rsidP="00352F37">
      <w:pPr>
        <w:pStyle w:val="Heading3"/>
        <w:numPr>
          <w:ilvl w:val="2"/>
          <w:numId w:val="13"/>
        </w:numPr>
      </w:pPr>
      <w:bookmarkStart w:id="74" w:name="_Toc517968056"/>
      <w:r>
        <w:t>Risks, threats and vulnerabilities of life insurance products</w:t>
      </w:r>
      <w:bookmarkEnd w:id="74"/>
    </w:p>
    <w:p w14:paraId="6E4E3072" w14:textId="77777777" w:rsidR="00352F37" w:rsidRDefault="00352F37" w:rsidP="00352F37">
      <w:pPr>
        <w:pStyle w:val="Para"/>
      </w:pPr>
      <w:r>
        <w:t>The sectoral risk assessment should also include determining the potential risks presented by other products and services delivered by life insurers. Life insurance supervisors should be mindful of the risk associated with certain products or services not specifically being offered by life insurers, but that make use of life insurer services to deliver the product, for example life insurance wrappers.</w:t>
      </w:r>
    </w:p>
    <w:p w14:paraId="6E4E3073" w14:textId="77777777" w:rsidR="00352F37" w:rsidRDefault="00352F37" w:rsidP="00352F37">
      <w:pPr>
        <w:pStyle w:val="Para"/>
      </w:pPr>
      <w:r>
        <w:t>RBA supervision should take into consideration risks, threats and vulnerabilities associated to each different type of life insurance and investment products available within its life insurance market. In this regards, a good starting point would be to emphasize products which are more often considered as presenting higher risks and specific vulnerabilities to ML/TF. See examples in Tables 1 and 2 above.</w:t>
      </w:r>
    </w:p>
    <w:p w14:paraId="6E4E3074" w14:textId="77777777" w:rsidR="00352F37" w:rsidRDefault="00352F37" w:rsidP="00352F37">
      <w:pPr>
        <w:pStyle w:val="Heading3"/>
        <w:numPr>
          <w:ilvl w:val="2"/>
          <w:numId w:val="13"/>
        </w:numPr>
      </w:pPr>
      <w:bookmarkStart w:id="75" w:name="_Toc517968057"/>
      <w:r>
        <w:t>Risks, threats and vulnerabilities of distribution channels</w:t>
      </w:r>
      <w:bookmarkEnd w:id="75"/>
    </w:p>
    <w:p w14:paraId="6E4E3075" w14:textId="77777777" w:rsidR="00352F37" w:rsidRDefault="00352F37" w:rsidP="00352F37">
      <w:pPr>
        <w:pStyle w:val="Para"/>
      </w:pPr>
      <w:r>
        <w:t xml:space="preserve">Intermediaries engaged in the business of providing life insurance products can take different forms and have different status, which will bear on their role and responsibilities in the AML/CFT approach, including for the conduct of the customer due diligence process (see Section II). In all cases, in the RBA context, supervisors should take into consideration the quality of the on-going CDD applied by intermediaries to determine their respective risk profile.  </w:t>
      </w:r>
    </w:p>
    <w:p w14:paraId="6E4E3076" w14:textId="00F352BC" w:rsidR="00352F37" w:rsidRDefault="00352F37" w:rsidP="00352F37">
      <w:pPr>
        <w:pStyle w:val="Para"/>
      </w:pPr>
      <w:r>
        <w:t>Where local provisions permit life insurers to rely on the CDD conducted by life insurance intermediaries (provided that they qualify as FIs), supervisors should check that life insurers apply appropriate internal controls to these intermediaries to determine if the reliance on third parties is appropriate (R. 17). (</w:t>
      </w:r>
      <w:r w:rsidRPr="00011E74">
        <w:t>See para 15</w:t>
      </w:r>
      <w:r>
        <w:t xml:space="preserve">). </w:t>
      </w:r>
    </w:p>
    <w:p w14:paraId="6E4E3077" w14:textId="77777777" w:rsidR="00352F37" w:rsidRDefault="00352F37" w:rsidP="00352F37">
      <w:pPr>
        <w:pStyle w:val="Heading3"/>
        <w:numPr>
          <w:ilvl w:val="2"/>
          <w:numId w:val="13"/>
        </w:numPr>
      </w:pPr>
      <w:bookmarkStart w:id="76" w:name="_Toc517968058"/>
      <w:r>
        <w:t>Risks, threats and vulnerabilities associated to the geographical implantations of life insurers and intermediaries’ part of insurance/financial groups.</w:t>
      </w:r>
      <w:bookmarkEnd w:id="76"/>
    </w:p>
    <w:p w14:paraId="6E4E3078" w14:textId="77777777" w:rsidR="00352F37" w:rsidRPr="00EB47F1" w:rsidRDefault="00352F37" w:rsidP="00352F37">
      <w:pPr>
        <w:pStyle w:val="Para"/>
      </w:pPr>
      <w:r>
        <w:rPr>
          <w:szCs w:val="22"/>
        </w:rPr>
        <w:t>There is no universally agreed upon definition or methodology for determining whether a particular country or geographic area (including the country/geographical area within which the insurer or intermediary operates) represents a higher risk for ML/TF. Country/area risk, in conjunction with other risk factors, provides useful information as to potential ML/TF risks. Factors that may be considered as indicators of risk include:</w:t>
      </w:r>
    </w:p>
    <w:p w14:paraId="6E4E3079" w14:textId="7E1E6C08" w:rsidR="00352F37" w:rsidRPr="00EB47F1" w:rsidRDefault="00352F37" w:rsidP="00352F37">
      <w:pPr>
        <w:pStyle w:val="Para"/>
        <w:numPr>
          <w:ilvl w:val="0"/>
          <w:numId w:val="40"/>
        </w:numPr>
      </w:pPr>
      <w:r>
        <w:rPr>
          <w:szCs w:val="22"/>
        </w:rPr>
        <w:t>Countries/areas identified by credible sources</w:t>
      </w:r>
      <w:r w:rsidR="0032166C">
        <w:rPr>
          <w:rStyle w:val="FootnoteReference"/>
          <w:szCs w:val="22"/>
        </w:rPr>
        <w:footnoteReference w:id="30"/>
      </w:r>
      <w:r>
        <w:rPr>
          <w:sz w:val="14"/>
          <w:szCs w:val="14"/>
        </w:rPr>
        <w:t xml:space="preserve"> </w:t>
      </w:r>
      <w:r>
        <w:rPr>
          <w:szCs w:val="22"/>
        </w:rPr>
        <w:t>as providing funding or support for terrorist activities or that have designated terrorist organisations operating within them.</w:t>
      </w:r>
    </w:p>
    <w:p w14:paraId="6E4E307A" w14:textId="77777777" w:rsidR="00352F37" w:rsidRPr="00EB47F1" w:rsidRDefault="00352F37" w:rsidP="00352F37">
      <w:pPr>
        <w:pStyle w:val="Para"/>
        <w:numPr>
          <w:ilvl w:val="0"/>
          <w:numId w:val="40"/>
        </w:numPr>
      </w:pPr>
      <w:r>
        <w:rPr>
          <w:szCs w:val="22"/>
        </w:rPr>
        <w:lastRenderedPageBreak/>
        <w:t xml:space="preserve">Countries identified by credible sources as having significant levels of organized crime, corruption, or other criminal activity, including source or transit countries for illegal drugs, human trafficking and smuggling and illegal gambling. </w:t>
      </w:r>
    </w:p>
    <w:p w14:paraId="6E4E307B" w14:textId="42FD19C8" w:rsidR="00352F37" w:rsidRDefault="00352F37" w:rsidP="00352F37">
      <w:pPr>
        <w:pStyle w:val="BulletedList"/>
        <w:numPr>
          <w:ilvl w:val="0"/>
          <w:numId w:val="23"/>
        </w:numPr>
        <w:ind w:left="993"/>
      </w:pPr>
      <w:r>
        <w:rPr>
          <w:szCs w:val="22"/>
        </w:rPr>
        <w:t>Countries subject to sanctions, embargoes or similar measures issued by international organisations such as the United Nations organisation</w:t>
      </w:r>
      <w:r w:rsidR="00B57EC0">
        <w:rPr>
          <w:szCs w:val="22"/>
        </w:rPr>
        <w:t>, or by national authorities as determined in each jurisdiction</w:t>
      </w:r>
      <w:r w:rsidR="005A03D8">
        <w:rPr>
          <w:szCs w:val="22"/>
        </w:rPr>
        <w:t>, or by national authorities as determined in each jurisdiction</w:t>
      </w:r>
      <w:r w:rsidRPr="008506FE">
        <w:t>.</w:t>
      </w:r>
    </w:p>
    <w:p w14:paraId="6E4E307C" w14:textId="77777777" w:rsidR="00352F37" w:rsidRPr="00EB47F1" w:rsidRDefault="00352F37" w:rsidP="00352F37">
      <w:pPr>
        <w:pStyle w:val="Para"/>
        <w:numPr>
          <w:ilvl w:val="0"/>
          <w:numId w:val="40"/>
        </w:numPr>
      </w:pPr>
      <w:r w:rsidRPr="00EB47F1">
        <w:rPr>
          <w:szCs w:val="22"/>
        </w:rPr>
        <w:t xml:space="preserve">Countries identified by credible sources as having weak governance, law enforcement, and regulatory regimes, including countries identified by FATF statements as having weak AML/CFT regimes, and for which financial institutions should give special attention to business relationships and transactions. </w:t>
      </w:r>
    </w:p>
    <w:p w14:paraId="6E4E3082" w14:textId="77777777" w:rsidR="00352F37" w:rsidRDefault="00352F37" w:rsidP="00352F37">
      <w:pPr>
        <w:pStyle w:val="Heading3"/>
        <w:numPr>
          <w:ilvl w:val="2"/>
          <w:numId w:val="13"/>
        </w:numPr>
      </w:pPr>
      <w:bookmarkStart w:id="77" w:name="_Toc517968059"/>
      <w:bookmarkStart w:id="78" w:name="_Toc517968060"/>
      <w:bookmarkStart w:id="79" w:name="_Toc517968061"/>
      <w:bookmarkStart w:id="80" w:name="_Toc517968062"/>
      <w:bookmarkStart w:id="81" w:name="_Toc517968063"/>
      <w:bookmarkStart w:id="82" w:name="_Toc517968064"/>
      <w:bookmarkEnd w:id="77"/>
      <w:bookmarkEnd w:id="78"/>
      <w:bookmarkEnd w:id="79"/>
      <w:bookmarkEnd w:id="80"/>
      <w:bookmarkEnd w:id="81"/>
      <w:r>
        <w:t>Risks, threats and vulnerabilities of individual life insurers and intermediaries</w:t>
      </w:r>
      <w:bookmarkEnd w:id="82"/>
      <w:r>
        <w:t xml:space="preserve"> </w:t>
      </w:r>
    </w:p>
    <w:p w14:paraId="6E4E3083" w14:textId="2A56BED8" w:rsidR="00352F37" w:rsidRDefault="00352F37" w:rsidP="00352F37">
      <w:pPr>
        <w:pStyle w:val="Para"/>
      </w:pPr>
      <w:r>
        <w:t xml:space="preserve">In determining the risk profiles of life insurers and intermediaries, supervisors should take into account </w:t>
      </w:r>
      <w:r w:rsidR="00341A50">
        <w:t xml:space="preserve">multiple </w:t>
      </w:r>
      <w:r>
        <w:t xml:space="preserve">factors including: </w:t>
      </w:r>
    </w:p>
    <w:p w14:paraId="6E4E3084" w14:textId="77777777" w:rsidR="00352F37" w:rsidRDefault="00352F37" w:rsidP="00352F37">
      <w:pPr>
        <w:pStyle w:val="BulletedList"/>
        <w:numPr>
          <w:ilvl w:val="0"/>
          <w:numId w:val="23"/>
        </w:numPr>
      </w:pPr>
      <w:r>
        <w:t>their business models, including products and services offered, customer base and characteristics, distribution channels, geographic locations where they operate, and relevant financial information;</w:t>
      </w:r>
    </w:p>
    <w:p w14:paraId="6E4E3085" w14:textId="77777777" w:rsidR="00352F37" w:rsidRDefault="00352F37" w:rsidP="00352F37">
      <w:pPr>
        <w:pStyle w:val="BulletedList"/>
        <w:numPr>
          <w:ilvl w:val="0"/>
          <w:numId w:val="23"/>
        </w:numPr>
      </w:pPr>
      <w:r>
        <w:t xml:space="preserve">controls in place, including governance arrangements, the quality of the risk management and AML/CFT framework,  and the effectiveness mitigating measures;  </w:t>
      </w:r>
    </w:p>
    <w:p w14:paraId="6E4E3086" w14:textId="77777777" w:rsidR="00352F37" w:rsidRDefault="00352F37" w:rsidP="00352F37">
      <w:pPr>
        <w:pStyle w:val="BulletedList"/>
        <w:numPr>
          <w:ilvl w:val="0"/>
          <w:numId w:val="23"/>
        </w:numPr>
      </w:pPr>
      <w:r>
        <w:t>The fitness and properness of the management and holders of qualifying/controlling interest.</w:t>
      </w:r>
    </w:p>
    <w:p w14:paraId="6E4E3087" w14:textId="77777777" w:rsidR="00352F37" w:rsidRDefault="00352F37" w:rsidP="00352F37">
      <w:pPr>
        <w:pStyle w:val="Para"/>
      </w:pPr>
      <w:r>
        <w:t>Some of this information can be obtained through prudential supervision (when the life insurer is subject to prudential supervision), including information collected from reporting entities either off-site or on-site, the results of examinations and supervisory processes etc. This involves appropriate information-sharing and collaboration between prudential and AML/CFT supervisors, especially when the responsibilities belong to two separate agencies. In other regulatory models, such as those focusing on licensing/registration at the national level, but with shared oversight and enforcement at the local level, information sharing should include the sharing of examination findings. Supporting ongoing and effective communication between supervisors and life insurers and distribution channels is an essential prerequisite for the successful implementation of a RBA.</w:t>
      </w:r>
    </w:p>
    <w:p w14:paraId="2B08E50D" w14:textId="3B1FB1F7" w:rsidR="00326DC8" w:rsidRDefault="00352F37" w:rsidP="005534CF">
      <w:pPr>
        <w:pStyle w:val="Para"/>
        <w:rPr>
          <w:lang w:val="en-US"/>
        </w:rPr>
      </w:pPr>
      <w:r>
        <w:t>Where relevant, information from other stakeholders such as other supervisors (including overseas supervisors, the FIU and law enforcement agencies) may also be helpful in determining the extent to which a life insurer or intermediary is able to effectively manage the ML/TF risk to which it is exposed.</w:t>
      </w:r>
      <w:r w:rsidR="00326DC8" w:rsidRPr="00326DC8">
        <w:rPr>
          <w:lang w:val="en-US"/>
        </w:rPr>
        <w:t xml:space="preserve"> </w:t>
      </w:r>
    </w:p>
    <w:p w14:paraId="19B5CC4E" w14:textId="77777777" w:rsidR="00326DC8" w:rsidRDefault="00326DC8" w:rsidP="00326DC8">
      <w:pPr>
        <w:rPr>
          <w:lang w:val="en-US"/>
        </w:rPr>
      </w:pP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515"/>
      </w:tblGrid>
      <w:tr w:rsidR="00352F37" w:rsidRPr="00961F86" w14:paraId="6E4E3095" w14:textId="77777777" w:rsidTr="007667A1">
        <w:trPr>
          <w:jc w:val="center"/>
        </w:trPr>
        <w:tc>
          <w:tcPr>
            <w:tcW w:w="5000" w:type="pct"/>
            <w:shd w:val="clear" w:color="auto" w:fill="EDF0F7"/>
          </w:tcPr>
          <w:p w14:paraId="6E4E3089" w14:textId="5CE43491" w:rsidR="00352F37" w:rsidRPr="00326DC8" w:rsidRDefault="00352F37" w:rsidP="007667A1">
            <w:pPr>
              <w:pStyle w:val="BoxHeading"/>
              <w:jc w:val="center"/>
              <w:rPr>
                <w:sz w:val="22"/>
                <w:szCs w:val="22"/>
              </w:rPr>
            </w:pPr>
            <w:r w:rsidRPr="00326DC8">
              <w:rPr>
                <w:sz w:val="22"/>
                <w:szCs w:val="22"/>
              </w:rPr>
              <w:lastRenderedPageBreak/>
              <w:t>Box </w:t>
            </w:r>
            <w:r w:rsidRPr="00326DC8">
              <w:rPr>
                <w:sz w:val="22"/>
                <w:szCs w:val="22"/>
              </w:rPr>
              <w:fldChar w:fldCharType="begin"/>
            </w:r>
            <w:r w:rsidRPr="00326DC8">
              <w:rPr>
                <w:sz w:val="22"/>
                <w:szCs w:val="22"/>
              </w:rPr>
              <w:instrText xml:space="preserve"> SEQ Box \* ARABIC </w:instrText>
            </w:r>
            <w:r w:rsidRPr="00326DC8">
              <w:rPr>
                <w:sz w:val="22"/>
                <w:szCs w:val="22"/>
              </w:rPr>
              <w:fldChar w:fldCharType="separate"/>
            </w:r>
            <w:r w:rsidR="006E4FC1" w:rsidRPr="00326DC8">
              <w:rPr>
                <w:noProof/>
                <w:sz w:val="22"/>
                <w:szCs w:val="22"/>
              </w:rPr>
              <w:t>3</w:t>
            </w:r>
            <w:r w:rsidRPr="00326DC8">
              <w:rPr>
                <w:noProof/>
                <w:sz w:val="22"/>
                <w:szCs w:val="22"/>
              </w:rPr>
              <w:fldChar w:fldCharType="end"/>
            </w:r>
            <w:r w:rsidRPr="00326DC8">
              <w:rPr>
                <w:sz w:val="22"/>
                <w:szCs w:val="22"/>
              </w:rPr>
              <w:t xml:space="preserve">. </w:t>
            </w:r>
            <w:r w:rsidR="00326DC8">
              <w:rPr>
                <w:sz w:val="22"/>
                <w:szCs w:val="22"/>
              </w:rPr>
              <w:t xml:space="preserve">IAIS </w:t>
            </w:r>
            <w:r w:rsidRPr="00326DC8">
              <w:rPr>
                <w:sz w:val="22"/>
                <w:szCs w:val="22"/>
              </w:rPr>
              <w:t>sources of information for the implementation of a RBA to supervision to life insurance</w:t>
            </w:r>
          </w:p>
          <w:p w14:paraId="6E4E308A" w14:textId="39C17F2F" w:rsidR="00352F37" w:rsidRDefault="00352F37" w:rsidP="007667A1">
            <w:pPr>
              <w:pStyle w:val="Para0"/>
              <w:ind w:left="0" w:right="85"/>
            </w:pPr>
            <w:r>
              <w:t xml:space="preserve">ICP 3 – Information Exchange </w:t>
            </w:r>
            <w:r w:rsidR="00326DC8">
              <w:t xml:space="preserve">and </w:t>
            </w:r>
            <w:r>
              <w:t>Confidentiality Requirements</w:t>
            </w:r>
          </w:p>
          <w:p w14:paraId="6E4E308B" w14:textId="77777777" w:rsidR="00352F37" w:rsidRDefault="00352F37" w:rsidP="007667A1">
            <w:pPr>
              <w:pStyle w:val="Para0"/>
              <w:ind w:left="0" w:right="85"/>
            </w:pPr>
            <w:r>
              <w:t>ICP 5 – Suitability of Persons</w:t>
            </w:r>
          </w:p>
          <w:p w14:paraId="6E4E308C" w14:textId="77777777" w:rsidR="00352F37" w:rsidRDefault="00352F37" w:rsidP="007667A1">
            <w:pPr>
              <w:pStyle w:val="Para0"/>
              <w:ind w:left="0" w:right="85"/>
            </w:pPr>
            <w:r>
              <w:t>ICP 7 – Corporate Governance</w:t>
            </w:r>
          </w:p>
          <w:p w14:paraId="6E4E308D" w14:textId="77777777" w:rsidR="00352F37" w:rsidRDefault="00352F37" w:rsidP="007667A1">
            <w:pPr>
              <w:pStyle w:val="Para0"/>
              <w:ind w:left="0" w:right="85"/>
            </w:pPr>
            <w:r>
              <w:t xml:space="preserve">ICP 18 – Intermediaries </w:t>
            </w:r>
          </w:p>
          <w:p w14:paraId="6E4E308E" w14:textId="4F39061D" w:rsidR="00352F37" w:rsidRDefault="00352F37" w:rsidP="007667A1">
            <w:pPr>
              <w:pStyle w:val="Para0"/>
              <w:ind w:left="0" w:right="85"/>
            </w:pPr>
            <w:r>
              <w:t xml:space="preserve">ICP 19 – Conduct of Business </w:t>
            </w:r>
          </w:p>
          <w:p w14:paraId="6E4E308F" w14:textId="59AC70C8" w:rsidR="00352F37" w:rsidRDefault="00352F37" w:rsidP="007667A1">
            <w:pPr>
              <w:pStyle w:val="Para0"/>
              <w:ind w:left="0" w:right="85"/>
            </w:pPr>
            <w:r>
              <w:t>ICP 22 – A</w:t>
            </w:r>
            <w:r w:rsidR="00326DC8">
              <w:t xml:space="preserve">nti </w:t>
            </w:r>
            <w:r>
              <w:t>M</w:t>
            </w:r>
            <w:r w:rsidR="00326DC8">
              <w:t xml:space="preserve">oney </w:t>
            </w:r>
            <w:r>
              <w:t>L</w:t>
            </w:r>
            <w:r w:rsidR="00326DC8">
              <w:t xml:space="preserve">aundering and </w:t>
            </w:r>
            <w:r>
              <w:t>C</w:t>
            </w:r>
            <w:r w:rsidR="00326DC8">
              <w:t xml:space="preserve">ombating the </w:t>
            </w:r>
            <w:r>
              <w:t>F</w:t>
            </w:r>
            <w:r w:rsidR="00326DC8">
              <w:t xml:space="preserve">inancing of </w:t>
            </w:r>
            <w:r>
              <w:t>T</w:t>
            </w:r>
            <w:r w:rsidR="00326DC8">
              <w:t>errorism</w:t>
            </w:r>
            <w:r>
              <w:t xml:space="preserve"> </w:t>
            </w:r>
          </w:p>
          <w:p w14:paraId="6E4E3090" w14:textId="476F9839" w:rsidR="00352F37" w:rsidRDefault="00352F37" w:rsidP="007667A1">
            <w:pPr>
              <w:pStyle w:val="Para0"/>
              <w:ind w:left="0" w:right="85"/>
            </w:pPr>
            <w:r w:rsidRPr="00EB454A">
              <w:t>ICP 23 – The Group-</w:t>
            </w:r>
            <w:r w:rsidR="00326DC8">
              <w:t>w</w:t>
            </w:r>
            <w:r w:rsidRPr="00EB454A">
              <w:t>ide Supervisor</w:t>
            </w:r>
          </w:p>
          <w:p w14:paraId="6E4E3091" w14:textId="77777777" w:rsidR="00352F37" w:rsidRDefault="00352F37" w:rsidP="007667A1">
            <w:pPr>
              <w:pStyle w:val="Para0"/>
              <w:ind w:left="0" w:right="85"/>
            </w:pPr>
            <w:r>
              <w:t>ICP 25 – Supervisory Cooperation and Coordination</w:t>
            </w:r>
          </w:p>
          <w:p w14:paraId="6E4E3092" w14:textId="77777777" w:rsidR="00352F37" w:rsidRDefault="00352F37" w:rsidP="007667A1">
            <w:pPr>
              <w:pStyle w:val="Para0"/>
              <w:ind w:left="0" w:right="85"/>
            </w:pPr>
            <w:r>
              <w:t>IAIS Application Paper on Approaches to Supervising the Conduct of Intermediaries (November 2016)</w:t>
            </w:r>
          </w:p>
          <w:p w14:paraId="6E4E3093" w14:textId="77777777" w:rsidR="00352F37" w:rsidRDefault="00352F37" w:rsidP="007667A1">
            <w:pPr>
              <w:pStyle w:val="Para0"/>
              <w:ind w:left="0" w:right="85"/>
            </w:pPr>
            <w:r>
              <w:t xml:space="preserve">IAIS Application Paper on the Regulation and Supervision of Captive Insurers (November 2015) </w:t>
            </w:r>
          </w:p>
          <w:p w14:paraId="6E4E3094" w14:textId="3E2E7DEA" w:rsidR="00352F37" w:rsidRPr="00961F86" w:rsidRDefault="00352F37" w:rsidP="008244C6">
            <w:pPr>
              <w:pStyle w:val="Para0"/>
              <w:ind w:left="0" w:right="85"/>
            </w:pPr>
            <w:r>
              <w:t xml:space="preserve">IAIS Application </w:t>
            </w:r>
            <w:r w:rsidR="00326DC8">
              <w:t>P</w:t>
            </w:r>
            <w:r>
              <w:t xml:space="preserve">aper on </w:t>
            </w:r>
            <w:r w:rsidR="00326DC8">
              <w:t>C</w:t>
            </w:r>
            <w:r>
              <w:t xml:space="preserve">ombating </w:t>
            </w:r>
            <w:r w:rsidR="00326DC8">
              <w:t>M</w:t>
            </w:r>
            <w:r>
              <w:t xml:space="preserve">oney </w:t>
            </w:r>
            <w:r w:rsidR="00326DC8">
              <w:t>L</w:t>
            </w:r>
            <w:r>
              <w:t xml:space="preserve">aundering and </w:t>
            </w:r>
            <w:r w:rsidR="00326DC8">
              <w:t>T</w:t>
            </w:r>
            <w:r>
              <w:t xml:space="preserve">errorist </w:t>
            </w:r>
            <w:r w:rsidR="00326DC8">
              <w:t>F</w:t>
            </w:r>
            <w:r>
              <w:t>inancing (October 2013)</w:t>
            </w:r>
          </w:p>
        </w:tc>
      </w:tr>
    </w:tbl>
    <w:p w14:paraId="6E4E3096" w14:textId="77777777" w:rsidR="00352F37" w:rsidRDefault="00352F37" w:rsidP="00352F37">
      <w:pPr>
        <w:pStyle w:val="Heading2"/>
        <w:numPr>
          <w:ilvl w:val="1"/>
          <w:numId w:val="13"/>
        </w:numPr>
      </w:pPr>
      <w:bookmarkStart w:id="83" w:name="_Toc509840571"/>
      <w:bookmarkStart w:id="84" w:name="_Toc517968065"/>
      <w:r>
        <w:t>Mitigating ML/TF risks</w:t>
      </w:r>
      <w:bookmarkEnd w:id="83"/>
      <w:bookmarkEnd w:id="84"/>
    </w:p>
    <w:p w14:paraId="6E4E3097" w14:textId="18A15CD7" w:rsidR="00352F37" w:rsidRDefault="00352F37" w:rsidP="00352F37">
      <w:pPr>
        <w:pStyle w:val="Para"/>
      </w:pPr>
      <w:r>
        <w:t xml:space="preserve">The FATF Recommendations require supervisors to allocate and prioritize more supervisory resources to areas of higher ML/TF risk. This implies that supervisors should determine the frequency and intensity of off-site and on-site controls assessments based on the level of ML/TF risks identified, both at sectoral level and the level of individual life insurers and intermediaries, including at group level. Supervisors should give priority to the areas of higher risk, identified either in a particular individual life insurer or intermediary or group; or to life insurers, intermediaries or group operating in a particular life insurance line of business. Moreover, supervisors should regularly conduct targeted inspection on a risk sensitive basis, for example, on certain higher risk business lines, like life insurance products linked to wealth management, or types of customers or on certain parts of AML/CFT systems or policies. </w:t>
      </w:r>
    </w:p>
    <w:p w14:paraId="6E4E3098" w14:textId="77777777" w:rsidR="00352F37" w:rsidRDefault="00352F37" w:rsidP="00352F37">
      <w:pPr>
        <w:pStyle w:val="Para"/>
      </w:pPr>
      <w:r>
        <w:t>A good understanding of the ML/TF risks present in the sector is important to help supervisors decide the approach to supervision and allocate supervisory resources effectively.</w:t>
      </w:r>
      <w:r>
        <w:rPr>
          <w:rStyle w:val="FootnoteReference"/>
        </w:rPr>
        <w:footnoteReference w:id="31"/>
      </w:r>
      <w:r>
        <w:t xml:space="preserve"> This understanding should come from a process of continuous evaluation of the sector, to account for new developments and risks.</w:t>
      </w:r>
      <w:r>
        <w:rPr>
          <w:rStyle w:val="FootnoteReference"/>
        </w:rPr>
        <w:footnoteReference w:id="32"/>
      </w:r>
      <w:r>
        <w:t xml:space="preserve"> In deciding the approach to supervision, supervisors should not be overly reliant on the numbers of on-site visits, but focus on the range, number and quality of supervisory actions.</w:t>
      </w:r>
      <w:r>
        <w:rPr>
          <w:rStyle w:val="FootnoteReference"/>
        </w:rPr>
        <w:footnoteReference w:id="33"/>
      </w:r>
    </w:p>
    <w:p w14:paraId="6E4E3099" w14:textId="77777777" w:rsidR="00352F37" w:rsidRDefault="00352F37" w:rsidP="00352F37">
      <w:pPr>
        <w:pStyle w:val="Para"/>
      </w:pPr>
      <w:r>
        <w:lastRenderedPageBreak/>
        <w:t>Examples of ways in which supervisors can adjust their approach include:</w:t>
      </w:r>
    </w:p>
    <w:p w14:paraId="6E4E309A" w14:textId="77777777" w:rsidR="00352F37" w:rsidRDefault="00352F37" w:rsidP="00352F37">
      <w:pPr>
        <w:pStyle w:val="BulletedList"/>
        <w:numPr>
          <w:ilvl w:val="0"/>
          <w:numId w:val="23"/>
        </w:numPr>
      </w:pPr>
      <w:r w:rsidRPr="002B232A">
        <w:rPr>
          <w:i/>
        </w:rPr>
        <w:t xml:space="preserve">Enhancing the amount of information required for </w:t>
      </w:r>
      <w:r>
        <w:rPr>
          <w:i/>
        </w:rPr>
        <w:t>registration/</w:t>
      </w:r>
      <w:r w:rsidRPr="002B232A">
        <w:rPr>
          <w:i/>
        </w:rPr>
        <w:t>authorisation</w:t>
      </w:r>
      <w:r>
        <w:t>: if there is an issue of integrity of the sector, supervisors can adjust the level of information they require for the authorisation process in order to prevent criminals or their associates from holding a significant or controlling interest in a life insurer or intermediary. For example, where the ML/TF risk associated with the sector is considered to be low, the opportunities for ML/TF associated with a particular business activity may be limited and thus supervisors may decide to base their approval decisions on a review of relevant documentation. Where the ML/TF risk associated with the sector is considered to be higher, supervisors may ask for additional information.</w:t>
      </w:r>
    </w:p>
    <w:p w14:paraId="6E4E309B" w14:textId="77777777" w:rsidR="00352F37" w:rsidRDefault="00352F37" w:rsidP="00352F37">
      <w:pPr>
        <w:pStyle w:val="BulletedList"/>
        <w:numPr>
          <w:ilvl w:val="0"/>
          <w:numId w:val="23"/>
        </w:numPr>
      </w:pPr>
      <w:r w:rsidRPr="002B232A">
        <w:rPr>
          <w:i/>
        </w:rPr>
        <w:t>Adjusting the type of AML/CFT supervision</w:t>
      </w:r>
      <w:r>
        <w:t>: supervisors should have both on-site and off-site access to all relevant risk (including risk arising from offshore operations of an insurance group) and compliance information. However, to the extent permitted by their regime, supervisors can determine the correct mix of on-site and off-site supervision of life insurers and intermediaries, based on supervisory findings in previous examinations (either off-site or on-site).  Supervisory resources can be allocated to focus on higher risk life insurers and intermediaries. In that case, lower risk life insurers and intermediaries could be supervised off-site, for example through questionnaires.</w:t>
      </w:r>
    </w:p>
    <w:p w14:paraId="6E4E309C" w14:textId="77777777" w:rsidR="00352F37" w:rsidRDefault="00352F37" w:rsidP="00352F37">
      <w:pPr>
        <w:pStyle w:val="BulletedList"/>
        <w:numPr>
          <w:ilvl w:val="0"/>
          <w:numId w:val="23"/>
        </w:numPr>
      </w:pPr>
      <w:r w:rsidRPr="002B232A">
        <w:rPr>
          <w:i/>
        </w:rPr>
        <w:t>Adjusting the frequency and nature of ongoing AML/CFT supervision</w:t>
      </w:r>
      <w:r>
        <w:t>: supervisors should adjust the frequency of AML/CFT supervision in line with the risks identified and combine periodic reviews and ad hoc AML/CFT supervision as issues emerge, e.g., as a result of whistleblowing, information from law enforcement, analysis of financial reporting or other supervisory findings resulting from, for example, general prudential supervision or a life insurer or intermediary’s inclusion in thematic review samples for new business underwriting.</w:t>
      </w:r>
    </w:p>
    <w:p w14:paraId="6E4E309D" w14:textId="77777777" w:rsidR="00352F37" w:rsidRPr="00A83FE7" w:rsidRDefault="00352F37" w:rsidP="00352F37">
      <w:pPr>
        <w:pStyle w:val="Para"/>
        <w:tabs>
          <w:tab w:val="clear" w:pos="680"/>
          <w:tab w:val="num" w:pos="1418"/>
        </w:tabs>
        <w:rPr>
          <w:i/>
        </w:rPr>
      </w:pPr>
      <w:r w:rsidRPr="00A83FE7">
        <w:rPr>
          <w:i/>
        </w:rPr>
        <w:t xml:space="preserve">Examples of different ways life insurer and intermediary supervisors adjust the frequency of ML/TF supervision in line with the risks identified can be found in Annex D. </w:t>
      </w:r>
    </w:p>
    <w:p w14:paraId="6E4E309E" w14:textId="77777777" w:rsidR="00352F37" w:rsidRDefault="00352F37" w:rsidP="00352F37">
      <w:pPr>
        <w:pStyle w:val="BulletedList"/>
        <w:numPr>
          <w:ilvl w:val="0"/>
          <w:numId w:val="23"/>
        </w:numPr>
      </w:pPr>
      <w:r w:rsidRPr="002B232A">
        <w:rPr>
          <w:i/>
        </w:rPr>
        <w:t>Adjusting the intensity of AML/CFT supervision</w:t>
      </w:r>
      <w:r>
        <w:t>: supervisors should decide on the appropriate scope or level of assessment in line with the risks identified, with the aim of assessing the adequacy of life insurers and intermediaries’ policies and procedures that are designed to prevent them from being abused. Examples of more intensive supervision could include: detailed testing of systems and files to verify the implementation and adequacy of the life insurer and intermediary’s risk assessment, CDD, reporting and record keeping policies and processes, internal auditing, interviews with operational staff, compliance and risk, senior management and the Board of directors and AML/CFT assessment in particular lines of business.</w:t>
      </w:r>
    </w:p>
    <w:p w14:paraId="6E4E309F" w14:textId="77777777" w:rsidR="00352F37" w:rsidRPr="00A83FE7" w:rsidRDefault="00352F37" w:rsidP="00352F37">
      <w:pPr>
        <w:pStyle w:val="Para"/>
        <w:rPr>
          <w:i/>
        </w:rPr>
      </w:pPr>
      <w:r w:rsidRPr="00A83FE7">
        <w:rPr>
          <w:i/>
        </w:rPr>
        <w:t xml:space="preserve">Examples of different ways life insurers and intermediary supervisors adjust the intensity of ML/TF supervision in line with the risks identified can be found in Annex D. </w:t>
      </w:r>
    </w:p>
    <w:p w14:paraId="6E4E30A0" w14:textId="77777777" w:rsidR="00352F37" w:rsidRDefault="00352F37" w:rsidP="00352F37">
      <w:pPr>
        <w:pStyle w:val="Para"/>
      </w:pPr>
      <w:r>
        <w:t xml:space="preserve">Supervisors should document and use their findings to review and update their ML/TF risk assessments and, where necessary, consider whether their approach to AML/CFT supervision and their AML/CFT rules and guidance remain adequate. Whenever appropriate, and in compliance with relevant confidentiality requirements, </w:t>
      </w:r>
      <w:r>
        <w:lastRenderedPageBreak/>
        <w:t>these findings should be communicated to life insurers and intermediaries, to enable them to enhance their RBA. Supervisors should also consider, where appropriate, sharing good and bad practices with the sector (see below).</w:t>
      </w:r>
    </w:p>
    <w:p w14:paraId="6E4E30A1" w14:textId="77777777" w:rsidR="00352F37" w:rsidRDefault="00352F37" w:rsidP="00352F37">
      <w:pPr>
        <w:pStyle w:val="Para"/>
      </w:pPr>
      <w:r>
        <w:t xml:space="preserve">In line with Recommendation 26, only for undertakings subject to prudential requirements (i.e., for life insurers and not for intermediaries) supervisors could consider the results of other prudential or financial supervision in their AML/CFT supervisory activities (see above). Similarly, they should check that the broader prudential findings that drive the overall supervisory strategies of the life insurer are informed by, and adequately address, the findings of the AML/CFT supervisory programme. </w:t>
      </w:r>
    </w:p>
    <w:p w14:paraId="6E4E30A2" w14:textId="77777777" w:rsidR="00352F37" w:rsidRDefault="00352F37" w:rsidP="00352F37">
      <w:pPr>
        <w:pStyle w:val="Para"/>
      </w:pPr>
      <w:r>
        <w:t>Under FATF Recommendations 27 and 35, supervisors should have the power to impose adequate sanctions on life insurers and intermediaries when they fail to comply with AML/CFT requirements. Supervisors should use proportionate actions, which may include a range of supervisory interventions, including remedial/corrective actions to ensure proper and timely correction of identified deficiencies as well as punitive sanctions for more egregious non-compliance, taking into account that identified weaknesses can have wider consequences. Generally, systemic breakdowns or significantly failure in controls will result in a more severe supervisory response. Supervisors should take proportionate and adequate measures taking into account the level of ML/TF risks’ exposure of the entity.</w:t>
      </w:r>
    </w:p>
    <w:p w14:paraId="6E4E30A3" w14:textId="77777777" w:rsidR="00352F37" w:rsidRDefault="00352F37" w:rsidP="00352F37">
      <w:pPr>
        <w:pStyle w:val="Heading3"/>
        <w:numPr>
          <w:ilvl w:val="2"/>
          <w:numId w:val="13"/>
        </w:numPr>
      </w:pPr>
      <w:bookmarkStart w:id="85" w:name="_Toc517968066"/>
      <w:r>
        <w:t>AML/CFT supervision and mitigation of ML/TF risks at group level</w:t>
      </w:r>
      <w:bookmarkEnd w:id="85"/>
    </w:p>
    <w:p w14:paraId="6E4E30A4" w14:textId="77777777" w:rsidR="00352F37" w:rsidRDefault="00352F37" w:rsidP="00352F37">
      <w:pPr>
        <w:pStyle w:val="Para"/>
      </w:pPr>
      <w:r w:rsidRPr="00413DFB">
        <w:t>In implementing supervision at the group level</w:t>
      </w:r>
      <w:r>
        <w:t>,</w:t>
      </w:r>
      <w:r w:rsidRPr="00413DFB">
        <w:t xml:space="preserve"> the supervisor of the parent entity of an insurance group or a group that includes insurance entity/</w:t>
      </w:r>
      <w:proofErr w:type="spellStart"/>
      <w:r w:rsidRPr="00413DFB">
        <w:t>ies</w:t>
      </w:r>
      <w:proofErr w:type="spellEnd"/>
      <w:r w:rsidRPr="00413DFB">
        <w:t xml:space="preserve"> should also develop a RBA to group wide su</w:t>
      </w:r>
      <w:r>
        <w:t>pervision of AML/CFT compliance</w:t>
      </w:r>
      <w:r w:rsidRPr="00413DFB">
        <w:t xml:space="preserve"> that is consistent with FATF standards</w:t>
      </w:r>
      <w:r w:rsidRPr="00413DFB">
        <w:rPr>
          <w:rStyle w:val="FootnoteReference"/>
        </w:rPr>
        <w:footnoteReference w:id="34"/>
      </w:r>
      <w:r>
        <w:t xml:space="preserve"> </w:t>
      </w:r>
      <w:r w:rsidRPr="00413DFB">
        <w:t>and international standards for group-wide supervision.</w:t>
      </w:r>
      <w:r w:rsidRPr="00413DFB">
        <w:rPr>
          <w:rStyle w:val="FootnoteReference"/>
        </w:rPr>
        <w:footnoteReference w:id="35"/>
      </w:r>
      <w:r w:rsidRPr="00413DFB">
        <w:t xml:space="preserve"> This approach should be applicable both to domestic entities and to those with entities in multiple jurisdictions, and should consider, for the purposes of this Guidance, groups headed by an insurer, as well as those headed by another FI (for example, a bank) or by a non-financial entity (including a holding) and who have at least one insurance subsidiary. </w:t>
      </w:r>
      <w:r>
        <w:t xml:space="preserve">Supervisors should seek agreement amongst themselves on the identification of the insurance group, including the parent entity, and the scope of group wide supervision to ensure that gaps and duplication in regulatory oversight are </w:t>
      </w:r>
      <w:r w:rsidRPr="00D77FD1">
        <w:t>minimized. Supervisors should have a holistic approach</w:t>
      </w:r>
      <w:r>
        <w:t xml:space="preserve"> of the scope of the group.</w:t>
      </w:r>
    </w:p>
    <w:p w14:paraId="6E4E30A5" w14:textId="77777777" w:rsidR="00352F37" w:rsidRDefault="00352F37" w:rsidP="00352F37">
      <w:pPr>
        <w:pStyle w:val="Para"/>
      </w:pPr>
      <w:r w:rsidRPr="00413DFB">
        <w:t xml:space="preserve">In the case of a group operating in multiple jurisdictions, the home supervisor of the parent entity should take into consideration the peculiarities of local ML/TF risks and laws, and AML/CFT policies of the various </w:t>
      </w:r>
      <w:r w:rsidRPr="00E57CBD">
        <w:t xml:space="preserve">jurisdictions where the group operates. </w:t>
      </w:r>
      <w:r w:rsidRPr="00763239">
        <w:t xml:space="preserve"> </w:t>
      </w:r>
    </w:p>
    <w:p w14:paraId="6E4E30A6" w14:textId="77777777" w:rsidR="00352F37" w:rsidRDefault="00352F37" w:rsidP="00352F37">
      <w:pPr>
        <w:pStyle w:val="Para"/>
      </w:pPr>
      <w:r>
        <w:t>In the case of a mixed group of banking and insurance entities at national level which involves more than one competent supervisor, coordination and cooperation amongst banking and insurance supervisors are encouraged.</w:t>
      </w:r>
    </w:p>
    <w:p w14:paraId="6E4E30A7" w14:textId="77777777" w:rsidR="00352F37" w:rsidRDefault="00352F37" w:rsidP="00352F37">
      <w:pPr>
        <w:pStyle w:val="Para"/>
      </w:pPr>
      <w:r>
        <w:t xml:space="preserve">To facilitate effective group supervision, supervisors are encouraged to implement effective mechanisms for information exchange, including relevant information related to AML/CFT impacting one or more entities within the group, or the group itself. </w:t>
      </w:r>
      <w:r>
        <w:lastRenderedPageBreak/>
        <w:t>Supervisory colleges may wish to consider a structure for information sharing, in accordance with IAIS guidance,</w:t>
      </w:r>
      <w:r>
        <w:rPr>
          <w:rStyle w:val="FootnoteReference"/>
        </w:rPr>
        <w:footnoteReference w:id="36"/>
      </w:r>
      <w:r>
        <w:t xml:space="preserve"> and supervisory colleges dedicated to AML/CFT could be envisaged on a risk-sensitive basis (taking into account the size, nature and ML/TF risks of the group). It is on the responsibility of the parent entity to organize the sharing of information at group level without prejudice to local laws.</w:t>
      </w:r>
    </w:p>
    <w:p w14:paraId="6E4E30A8" w14:textId="01736DFD" w:rsidR="00352F37" w:rsidRDefault="00352F37" w:rsidP="00352F37">
      <w:pPr>
        <w:pStyle w:val="Para"/>
      </w:pPr>
      <w:r>
        <w:t>The challenges in terms of sharing of information within the group and other responsibilities amongst the competent supervisors and authorities from the relevant jurisdictions should also be considered. When obstacles to information sharing exist due to local laws, those obstacles should be made known to the supervisory authorities of the parent entity, in line with R.18.</w:t>
      </w:r>
    </w:p>
    <w:p w14:paraId="6E4E30A9" w14:textId="77777777" w:rsidR="00352F37" w:rsidRDefault="00352F37" w:rsidP="00352F37">
      <w:pPr>
        <w:pStyle w:val="Para"/>
      </w:pPr>
      <w:r>
        <w:t>Supervisors of the parent entity (or group-wide supervisors) should identify the group’s life insurance entity or entities that may be more vulnerable to ML/TF, in cooperation with supervisors of these entities. The college of supervisors (or other means if a college is not established) should discuss and evaluate the overall ML/TF risks both at national and international level. To encourage a comprehensive overview of risks in this process, the supervisors of the parent entity may wish to focus on a consolidated risk sensitive basis. Supervisory activities should include information requests on policies and operational issues relevant to the ML/TF risks and AML/CFT internal processes and procedures, on-site inspections within the group, and formal discussions with the board, senior management and person in charge of compliance of the group and of single entities, in cooperation with competent supervisors.</w:t>
      </w:r>
    </w:p>
    <w:p w14:paraId="6E4E30AA" w14:textId="77777777" w:rsidR="00352F37" w:rsidRDefault="00352F37" w:rsidP="00352F37">
      <w:pPr>
        <w:pStyle w:val="Para"/>
      </w:pPr>
      <w:r>
        <w:t xml:space="preserve">Where the group is operating internationally, cooperation and coordination expectations are encouraged. Cooperation and coordination should include information sharing regarding the exposure of the entities in the group to ML/FT risks. The home supervisor should, in cooperation with the host supervisor(s), consider the option to inspect overseas branches and subsidiaries (subject to the laws of the jurisdiction that the overseas branch/ subsidiary operates in). Where applicable, the home supervisor may wish to share the main findings of such inspection with the host supervisor. </w:t>
      </w:r>
    </w:p>
    <w:p w14:paraId="6E4E30AB" w14:textId="0583151D" w:rsidR="00352F37" w:rsidRDefault="00352F37" w:rsidP="00352F37">
      <w:pPr>
        <w:pStyle w:val="Para"/>
      </w:pPr>
      <w:r>
        <w:t>When the group is exposed to excessive ML/TF risks that cannot be properly managed (</w:t>
      </w:r>
      <w:r w:rsidR="00341A50">
        <w:t xml:space="preserve">for example, </w:t>
      </w:r>
      <w:r>
        <w:t>because of legal impediments to implement group-wide policies and procedures in one or more entities of the group, or to exchange information within the group), supervisors of the parent entity may limit the range of activities of the group and subject it to escalating supervisory measures, including directing the financial group to close the foreign offices in extreme cases.</w:t>
      </w:r>
      <w:r>
        <w:rPr>
          <w:rStyle w:val="FootnoteReference"/>
        </w:rPr>
        <w:footnoteReference w:id="37"/>
      </w:r>
      <w:r>
        <w:t xml:space="preserve"> </w:t>
      </w:r>
    </w:p>
    <w:p w14:paraId="6E4E30AC" w14:textId="77777777" w:rsidR="00352F37" w:rsidRDefault="00352F37" w:rsidP="00352F37">
      <w:pPr>
        <w:pStyle w:val="Heading3"/>
        <w:numPr>
          <w:ilvl w:val="2"/>
          <w:numId w:val="13"/>
        </w:numPr>
      </w:pPr>
      <w:bookmarkStart w:id="86" w:name="_Toc517968067"/>
      <w:r>
        <w:t>AML/CFT Supervision of life insurers and intermediaries sharing the same risk profile and characteristics</w:t>
      </w:r>
      <w:bookmarkEnd w:id="86"/>
    </w:p>
    <w:p w14:paraId="6E4E30AD" w14:textId="77777777" w:rsidR="00352F37" w:rsidRDefault="00352F37" w:rsidP="00352F37">
      <w:pPr>
        <w:pStyle w:val="Para"/>
      </w:pPr>
      <w:r>
        <w:t>In adopting a RBA to supervision, countries and competent authorities may choose to consider allocating supervised entities which share similar characteristics and risk profiles into groupings</w:t>
      </w:r>
      <w:r>
        <w:rPr>
          <w:rStyle w:val="FootnoteReference"/>
        </w:rPr>
        <w:footnoteReference w:id="38"/>
      </w:r>
      <w:r>
        <w:t xml:space="preserve"> for supervision purposes. Examples of characteristics and risk profiles could include the size of business, type of customers serviced, geographic </w:t>
      </w:r>
      <w:r>
        <w:lastRenderedPageBreak/>
        <w:t>areas of activities and delivery channels.  The setting up of such groupings could allow competent authorities to take a comprehensive view of the life insurance sector, as opposed to an approach where the supervisors concentrate on the individual risks posed by the individual life insurer or intermediary. If the risk profile of a life insurer or intermediary within a grouping changes, the supervisor may wish to reassess the supervisory approach, which may include removing the life insurer or intermediary from the grouping.</w:t>
      </w:r>
    </w:p>
    <w:p w14:paraId="6E4E30AE" w14:textId="77777777" w:rsidR="00352F37" w:rsidRDefault="00352F37" w:rsidP="00352F37">
      <w:pPr>
        <w:pStyle w:val="Heading1"/>
        <w:numPr>
          <w:ilvl w:val="0"/>
          <w:numId w:val="13"/>
        </w:numPr>
      </w:pPr>
      <w:bookmarkStart w:id="87" w:name="_Toc509840572"/>
      <w:bookmarkStart w:id="88" w:name="_Toc517968068"/>
      <w:r>
        <w:t>SUPERVISION OF THE RISK BASED APPROACH</w:t>
      </w:r>
      <w:bookmarkEnd w:id="87"/>
      <w:bookmarkEnd w:id="88"/>
    </w:p>
    <w:p w14:paraId="6E4E30AF" w14:textId="77777777" w:rsidR="00352F37" w:rsidRDefault="00352F37" w:rsidP="00352F37">
      <w:pPr>
        <w:pStyle w:val="Heading2"/>
        <w:numPr>
          <w:ilvl w:val="1"/>
          <w:numId w:val="13"/>
        </w:numPr>
      </w:pPr>
      <w:bookmarkStart w:id="89" w:name="_Toc509840573"/>
      <w:bookmarkStart w:id="90" w:name="_Toc517968069"/>
      <w:r>
        <w:t>General Approach</w:t>
      </w:r>
      <w:bookmarkEnd w:id="89"/>
      <w:bookmarkEnd w:id="90"/>
    </w:p>
    <w:p w14:paraId="6E4E30B0" w14:textId="77777777" w:rsidR="00352F37" w:rsidRDefault="00352F37" w:rsidP="00352F37">
      <w:pPr>
        <w:pStyle w:val="Para"/>
      </w:pPr>
      <w:r>
        <w:t xml:space="preserve">It is important that supervisors discharge their functions in a way that takes into consideration the adoption of a RBA by life insurers and intermediaries. This implies that supervisors have to take steps to check that their </w:t>
      </w:r>
      <w:proofErr w:type="gramStart"/>
      <w:r>
        <w:t>staff</w:t>
      </w:r>
      <w:proofErr w:type="gramEnd"/>
      <w:r>
        <w:t xml:space="preserve"> is equipped to assess whether a life insurer’s or an intermediary’s policies, procedures and controls are appropriate and proportional in view of the life insurer’s or the intermediary’s risk assessment and risk management procedures. Supervisors should ensure that the life insurer or the intermediary adheres to its own policies, procedures and controls, and that decisions are made using sound judgment so that the life insurer or intermediary manages the ML/TF risks it is exposed to appropriately. It also implies that supervisors articulate and communicate clearly their expectations of the measures needed for life insurers and intermediaries to comply with the applicable AML/CFT framework. The aim is that supervisory actions are in most cases predictable, consistent and proportionate and to this end, training of supervisory staff and the effective communication of expectations to life insurers and intermediaries are key points.</w:t>
      </w:r>
    </w:p>
    <w:p w14:paraId="6E4E30B1" w14:textId="77777777" w:rsidR="00352F37" w:rsidRDefault="00352F37" w:rsidP="00352F37">
      <w:pPr>
        <w:pStyle w:val="Para"/>
      </w:pPr>
      <w:r>
        <w:t>The comprehensive understanding of ML/TF risks faced by the sector and by individual (or groupings of) life insurers and intermediaries allows supervisors to form a sound judgment about the proportionality and adequacy of AML/CFT controls set up by the obliged entities. As part of their supervisory procedures, supervisors should communicate their findings and views about the individual life insurer’s or intermediary’s AML/CFT controls or about the group wide AML/CFT policies and procedures. Supervisors should be able to provide appropriate guidance to reporting entities on the flexibility available under a RBA.  They should understand the reasons why an entity engages in instances which go beyond the law (also called conservative or over-compliance; for instance, refusing to on-board PEPs) and provide further guidance where appropriate.</w:t>
      </w:r>
    </w:p>
    <w:p w14:paraId="6E4E30B2" w14:textId="77777777" w:rsidR="00352F37" w:rsidRDefault="00352F37" w:rsidP="00352F37">
      <w:pPr>
        <w:pStyle w:val="Para"/>
      </w:pPr>
      <w:r>
        <w:t>In order to support supervisors’ understanding of the overall strength of measures in the life insurance sector, comparative analysis between life insurers’ and intermediaries’ AML/CFT programmes could be considered as a means to inform their judgment of the quality of an individual life insurer’s or intermediary’s controls. Supervisors should note, however, that under the RBA, there may be valid reasons why AML/CFT controls differ among life insurers and intermediaries. Hence, supervisors should be equipped to evaluate the merits of these differences, especially when considering comparable entities with differing levels of operational complexity.</w:t>
      </w:r>
    </w:p>
    <w:p w14:paraId="6E4E30B3" w14:textId="77777777" w:rsidR="00352F37" w:rsidRDefault="00352F37" w:rsidP="00352F37">
      <w:pPr>
        <w:pStyle w:val="Para"/>
      </w:pPr>
      <w:r>
        <w:t xml:space="preserve">In the context of the RBA, the primary focus for supervisors should be to assess whether the life insurer or the intermediary, in its own risk assessment, has reasonably and fairly gauged the ML/TF risks to its business, taking into account the characteristics </w:t>
      </w:r>
      <w:r>
        <w:lastRenderedPageBreak/>
        <w:t xml:space="preserve">of its products, customers, </w:t>
      </w:r>
      <w:proofErr w:type="gramStart"/>
      <w:r>
        <w:t>transactions</w:t>
      </w:r>
      <w:proofErr w:type="gramEnd"/>
      <w:r>
        <w:t xml:space="preserve">, type of distribution channel, and origin and destination of funds. In addition to the overall sector risk, supervisors should take into account the individual business circumstances (risk profile of the business relationships). Supervisors should also determine whether or not the life insurer’s or intermediary’s AML/CFT compliance and risk management programme is adequate to a) meet the regulatory requirements, and b) appropriately and effectively mitigate and manage the risks. Supervisors should assess whether the entity’s risk assessment is effectively implemented in its CDD process and AML/CFT systems and monitoring and assess the robustness of its internal control measures and procedures dedicated to AML/CFT. For example, in their on-site inspections, the CDD process should be tested through the examination of some customers’ files. </w:t>
      </w:r>
    </w:p>
    <w:p w14:paraId="6E4E30B4" w14:textId="77777777" w:rsidR="00352F37" w:rsidRDefault="00352F37" w:rsidP="00352F37">
      <w:pPr>
        <w:pStyle w:val="Para"/>
      </w:pPr>
      <w:r>
        <w:t>Moreover, the supervisor should consider the adequacy of the on-going monitoring conducted by the life insurer or the intermediary with the risk’s profile of the supervised entity. This could involve checking, through off-site and on-site supervisory activities, that supervised entities have duly implemented clear procedures and measures to monitor transactions on an ongoing basis, taking into account nature and level of risks. Ongoing vigilance can require monitoring customers’ transactions on a daily basis and in real time for detection of suspicious activities. Transaction monitoring should be commensurate to the risk identified.</w:t>
      </w:r>
    </w:p>
    <w:p w14:paraId="6E4E30B5" w14:textId="77777777" w:rsidR="00352F37" w:rsidRDefault="00352F37" w:rsidP="00352F37">
      <w:pPr>
        <w:pStyle w:val="Heading2"/>
        <w:numPr>
          <w:ilvl w:val="1"/>
          <w:numId w:val="13"/>
        </w:numPr>
      </w:pPr>
      <w:bookmarkStart w:id="91" w:name="_Toc509840574"/>
      <w:bookmarkStart w:id="92" w:name="_Toc517968070"/>
      <w:r>
        <w:t>Training and awareness</w:t>
      </w:r>
      <w:bookmarkEnd w:id="91"/>
      <w:bookmarkEnd w:id="92"/>
    </w:p>
    <w:p w14:paraId="6E4E30B6" w14:textId="77777777" w:rsidR="00352F37" w:rsidRDefault="00352F37" w:rsidP="00352F37">
      <w:pPr>
        <w:pStyle w:val="Para"/>
      </w:pPr>
      <w:r>
        <w:t xml:space="preserve">Training is important for supervision staff in order to have appropriate knowledge of the applicable legal/regulatory AML/CFT framework and to understand the life insurance sector and the various business models that exist. In particular, supervisors should ensure that </w:t>
      </w:r>
      <w:proofErr w:type="gramStart"/>
      <w:r>
        <w:t>staff</w:t>
      </w:r>
      <w:proofErr w:type="gramEnd"/>
      <w:r>
        <w:t xml:space="preserve"> is suitably qualified and trained to assess the quality of life insurers’ and intermediaries’ ML/TF risk assessments and to consider the adequacy, proportionality, effectiveness and efficiency of life insurers’ and intermediaries’ AML/CFT policies, procedures and internal controls in light of their risk assessments.</w:t>
      </w:r>
    </w:p>
    <w:p w14:paraId="6E4E30B7" w14:textId="77777777" w:rsidR="00352F37" w:rsidRDefault="00352F37" w:rsidP="00352F37">
      <w:pPr>
        <w:pStyle w:val="Para"/>
      </w:pPr>
      <w:r>
        <w:t>Training should also aim at achieving consistency in the supervisory approach at a national level, in cases where there are multiple competent authorities or when the national supervisory model is devolved or fragmented. Supervision staff may also benefit from knowledge sharing among competent authorities.</w:t>
      </w:r>
    </w:p>
    <w:p w14:paraId="6E4E30B8" w14:textId="77777777" w:rsidR="00352F37" w:rsidRDefault="00352F37" w:rsidP="00352F37">
      <w:pPr>
        <w:pStyle w:val="Para"/>
      </w:pPr>
      <w:r>
        <w:t>Supervisors should make sure that staff’s AML/CFT expertise remains up to date and relevant, and includes awareness of emerging risks as appropriate.</w:t>
      </w:r>
    </w:p>
    <w:p w14:paraId="6E4E30B9" w14:textId="77777777" w:rsidR="00352F37" w:rsidRDefault="00352F37" w:rsidP="00352F37">
      <w:pPr>
        <w:pStyle w:val="Heading2"/>
        <w:numPr>
          <w:ilvl w:val="1"/>
          <w:numId w:val="13"/>
        </w:numPr>
      </w:pPr>
      <w:bookmarkStart w:id="93" w:name="_Toc509840575"/>
      <w:bookmarkStart w:id="94" w:name="_Toc517968071"/>
      <w:r>
        <w:t>Guidance</w:t>
      </w:r>
      <w:bookmarkEnd w:id="93"/>
      <w:bookmarkEnd w:id="94"/>
    </w:p>
    <w:p w14:paraId="6E4E30BA" w14:textId="77777777" w:rsidR="00352F37" w:rsidRDefault="00352F37" w:rsidP="00352F37">
      <w:pPr>
        <w:pStyle w:val="Para"/>
      </w:pPr>
      <w:r>
        <w:t>Supervisors should communicate their expectations of life insurers and intermediaries’ compliance with their legal and regulatory obligations, after considering engaging in a consultative process with relevant stakeholders. This guidance may be in the form of high-level requirements based on desired outcomes, risk-based rules and information about how supervisors interpret relevant legislation or regulation, or more detailed guidance about how particular AML/CFT controls are best applied.</w:t>
      </w:r>
    </w:p>
    <w:p w14:paraId="6E4E30BB" w14:textId="77777777" w:rsidR="00352F37" w:rsidRDefault="00352F37" w:rsidP="00352F37">
      <w:pPr>
        <w:pStyle w:val="Para"/>
      </w:pPr>
      <w:r>
        <w:t xml:space="preserve">Additionally, supervisors could consider issuing proportional guidance to different types of life insurers and intermediaries that take into account the level of inherent risk including the nature and complexity of the life insurers and intermediaries’ products and services, their size, business model, corporate governance arrangements, </w:t>
      </w:r>
      <w:r>
        <w:lastRenderedPageBreak/>
        <w:t>financial and accounting information, delivery channels, customer profiles and geographic footprint.</w:t>
      </w:r>
    </w:p>
    <w:p w14:paraId="6E4E30BC" w14:textId="77777777" w:rsidR="00352F37" w:rsidRDefault="00352F37" w:rsidP="00352F37">
      <w:pPr>
        <w:pStyle w:val="Para"/>
      </w:pPr>
      <w:r>
        <w:t xml:space="preserve">Supervisors should recognize that some life insurers and intermediaries may have limited experience in, or ability to, identify relevant ML/TF risk factors. L life insurers and intermediaries with lower capacity may need specific and more practical guidance, in particular regarding how to conduct a risk assessment and implement a RBA. Supervisory guidance could include tools that enable small and emerging life insurers and intermediaries with lower capacity to undertake assessments and develop risk mitigation and compliance management systems to meet their legal obligations. </w:t>
      </w:r>
    </w:p>
    <w:p w14:paraId="6E4E30BD" w14:textId="77777777" w:rsidR="00352F37" w:rsidRDefault="00352F37" w:rsidP="00352F37">
      <w:pPr>
        <w:pStyle w:val="Para"/>
      </w:pPr>
      <w:r>
        <w:t>Supervisors should also consider including in their guidance for life insurers and intermediaries information on how to comply with their legal and regulatory AML/CFT obligations in a way that fosters financial inclusion.</w:t>
      </w:r>
      <w:r>
        <w:rPr>
          <w:rStyle w:val="FootnoteReference"/>
        </w:rPr>
        <w:footnoteReference w:id="39"/>
      </w:r>
      <w:r>
        <w:t xml:space="preserve"> </w:t>
      </w:r>
    </w:p>
    <w:p w14:paraId="6E4E30BE" w14:textId="77777777" w:rsidR="00352F37" w:rsidRDefault="00352F37" w:rsidP="00352F37">
      <w:pPr>
        <w:pStyle w:val="Para"/>
      </w:pPr>
      <w:r>
        <w:t xml:space="preserve">Supervisors should consider liaising with other relevant domestic regulatory and supervisory authorities to secure a coherent interpretation of the legal obligations and to minimize disparities. This is particularly important where more than one supervisor is responsible for a given sector (for example, where life insurers and intermediaries are supervised by two different agencies or in separate divisions of the same agency). </w:t>
      </w:r>
      <w:proofErr w:type="gramStart"/>
      <w:r>
        <w:t>Multiple guidance</w:t>
      </w:r>
      <w:proofErr w:type="gramEnd"/>
      <w:r>
        <w:t xml:space="preserve"> should not create opportunities for regulatory arbitrage, loopholes or unnecessary confusion among life insurers and intermediaries. When possible, relevant regulatory and supervisory authorities should consider preparing joint guidance.</w:t>
      </w:r>
    </w:p>
    <w:p w14:paraId="6E4E30BF" w14:textId="77777777" w:rsidR="00352F37" w:rsidRPr="00415209" w:rsidRDefault="00352F37" w:rsidP="00352F37">
      <w:pPr>
        <w:pStyle w:val="Para"/>
      </w:pPr>
      <w:r w:rsidRPr="004D2776">
        <w:t>Examples of different approaches to insurance supervisory guidance can be found in Annex E.</w:t>
      </w:r>
      <w:r w:rsidRPr="00415209">
        <w:t xml:space="preserve"> </w:t>
      </w:r>
    </w:p>
    <w:p w14:paraId="6E4E30C0" w14:textId="77777777" w:rsidR="00352F37" w:rsidRDefault="00352F37" w:rsidP="00352F37">
      <w:pPr>
        <w:pStyle w:val="Heading2"/>
        <w:numPr>
          <w:ilvl w:val="1"/>
          <w:numId w:val="13"/>
        </w:numPr>
      </w:pPr>
      <w:bookmarkStart w:id="95" w:name="_Toc509840576"/>
      <w:bookmarkStart w:id="96" w:name="_Toc517968072"/>
      <w:r>
        <w:t>Supervisory enforcement actions and sanction</w:t>
      </w:r>
      <w:bookmarkEnd w:id="95"/>
      <w:bookmarkEnd w:id="96"/>
    </w:p>
    <w:p w14:paraId="6E4E30C1" w14:textId="77777777" w:rsidR="00352F37" w:rsidRDefault="00352F37" w:rsidP="00352F37">
      <w:pPr>
        <w:pStyle w:val="Para"/>
      </w:pPr>
      <w:r>
        <w:t>When applying enforcement actions and supervisory sanctions, supervisors should take into account the level of mitigation of ML/TF risks by life insurers and intermediaries while using RBA. In fact, AML/CFT shortcomings could be due to inadequate RBA implementation by the entities (see the box below on an example of sanction issued by the French Supervisor, first bullet point on insufficient analysis of the ML/TF risks).</w:t>
      </w:r>
    </w:p>
    <w:tbl>
      <w:tblPr>
        <w:tblW w:w="5000"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9515"/>
      </w:tblGrid>
      <w:tr w:rsidR="00352F37" w:rsidRPr="00961F86" w14:paraId="6E4E30CA" w14:textId="77777777" w:rsidTr="007667A1">
        <w:trPr>
          <w:jc w:val="center"/>
        </w:trPr>
        <w:tc>
          <w:tcPr>
            <w:tcW w:w="5000" w:type="pct"/>
            <w:shd w:val="clear" w:color="auto" w:fill="EDF0F7"/>
          </w:tcPr>
          <w:p w14:paraId="6E4E30C2" w14:textId="444F3A22" w:rsidR="00352F37" w:rsidRPr="00C632A2" w:rsidRDefault="00352F37" w:rsidP="007667A1">
            <w:pPr>
              <w:pStyle w:val="BoxHeading"/>
              <w:jc w:val="center"/>
              <w:rPr>
                <w:sz w:val="22"/>
                <w:szCs w:val="22"/>
              </w:rPr>
            </w:pPr>
            <w:r w:rsidRPr="00C632A2">
              <w:rPr>
                <w:sz w:val="22"/>
                <w:szCs w:val="22"/>
              </w:rPr>
              <w:lastRenderedPageBreak/>
              <w:t>Box </w:t>
            </w:r>
            <w:r w:rsidR="00C632A2">
              <w:rPr>
                <w:sz w:val="22"/>
                <w:szCs w:val="22"/>
              </w:rPr>
              <w:t>4</w:t>
            </w:r>
            <w:r w:rsidRPr="00C632A2">
              <w:rPr>
                <w:sz w:val="22"/>
                <w:szCs w:val="22"/>
              </w:rPr>
              <w:t>. Example:  sanction against a life insurer in France</w:t>
            </w:r>
          </w:p>
          <w:p w14:paraId="6E4E30C3" w14:textId="77777777" w:rsidR="00352F37" w:rsidRDefault="00352F37" w:rsidP="007667A1">
            <w:pPr>
              <w:pStyle w:val="Para0"/>
              <w:ind w:left="0" w:right="0"/>
            </w:pPr>
            <w:r>
              <w:t>The on-site investigation team of the French supervisor (the ACPR) has performed an on-site AML/CFT control at a life insurance firm. This on-site control noted serious failures in the AML/CFT system and policy of this institution, in particular in:</w:t>
            </w:r>
          </w:p>
          <w:p w14:paraId="6E4E30C4" w14:textId="3D40E452" w:rsidR="00352F37" w:rsidRDefault="00352F37" w:rsidP="00352F37">
            <w:pPr>
              <w:pStyle w:val="BulletedList"/>
              <w:numPr>
                <w:ilvl w:val="0"/>
                <w:numId w:val="23"/>
              </w:numPr>
              <w:ind w:right="0"/>
            </w:pPr>
            <w:r>
              <w:t>The business-wide risk assessment established by the institution which did not take into account all of the ML</w:t>
            </w:r>
            <w:r w:rsidR="00341A50">
              <w:t>/</w:t>
            </w:r>
            <w:r>
              <w:t xml:space="preserve">TF risks it </w:t>
            </w:r>
            <w:r w:rsidR="00341A50">
              <w:t>was exposed to</w:t>
            </w:r>
            <w:r>
              <w:t xml:space="preserve">, especially those related to the customers and the activities (those gaps translated </w:t>
            </w:r>
            <w:r w:rsidR="00341A50">
              <w:t>in</w:t>
            </w:r>
            <w:r>
              <w:t xml:space="preserve">to vigilance </w:t>
            </w:r>
            <w:r w:rsidR="00341A50">
              <w:t xml:space="preserve">failures with </w:t>
            </w:r>
            <w:r>
              <w:t>regards to the business relationships);</w:t>
            </w:r>
          </w:p>
          <w:p w14:paraId="6E4E30C5" w14:textId="7D83E2DF" w:rsidR="00352F37" w:rsidRDefault="00352F37" w:rsidP="00352F37">
            <w:pPr>
              <w:pStyle w:val="BulletedList"/>
              <w:numPr>
                <w:ilvl w:val="0"/>
                <w:numId w:val="23"/>
              </w:numPr>
              <w:ind w:right="0"/>
            </w:pPr>
            <w:r>
              <w:t>The on-going monitoring system which was insufficient for detecting efficien</w:t>
            </w:r>
            <w:r w:rsidR="00341A50">
              <w:t>tl</w:t>
            </w:r>
            <w:r>
              <w:t>y all the atypical and suspicious transactions;</w:t>
            </w:r>
          </w:p>
          <w:p w14:paraId="6E4E30C6" w14:textId="47A370FC" w:rsidR="00352F37" w:rsidRDefault="00352F37" w:rsidP="00352F37">
            <w:pPr>
              <w:pStyle w:val="BulletedList"/>
              <w:numPr>
                <w:ilvl w:val="0"/>
                <w:numId w:val="23"/>
              </w:numPr>
              <w:ind w:right="0"/>
            </w:pPr>
            <w:r>
              <w:t>The customer due diligence measures and in particular, cases of absence of verification of the identity of the beneficial owner and insufficient knowledge of the business relationships;</w:t>
            </w:r>
          </w:p>
          <w:p w14:paraId="6E4E30C7" w14:textId="77777777" w:rsidR="00352F37" w:rsidRDefault="00352F37" w:rsidP="00352F37">
            <w:pPr>
              <w:pStyle w:val="BulletedList"/>
              <w:numPr>
                <w:ilvl w:val="0"/>
                <w:numId w:val="23"/>
              </w:numPr>
              <w:ind w:right="0"/>
            </w:pPr>
            <w:r>
              <w:t>The detecting process of politically exposed persons which was inefficient;</w:t>
            </w:r>
          </w:p>
          <w:p w14:paraId="6E4E30C8" w14:textId="77777777" w:rsidR="00352F37" w:rsidRDefault="00352F37" w:rsidP="00352F37">
            <w:pPr>
              <w:pStyle w:val="BulletedList"/>
              <w:numPr>
                <w:ilvl w:val="0"/>
                <w:numId w:val="23"/>
              </w:numPr>
              <w:ind w:right="0"/>
            </w:pPr>
            <w:r>
              <w:t>The reporting of suspicious transactions, with identification of several suspicious transactions of high amounts for which no STR has been performed.</w:t>
            </w:r>
          </w:p>
          <w:p w14:paraId="6E4E30C9" w14:textId="7759F172" w:rsidR="00352F37" w:rsidRPr="00961F86" w:rsidRDefault="00352F37" w:rsidP="005D3406">
            <w:pPr>
              <w:pStyle w:val="Para0"/>
              <w:ind w:left="0" w:right="0"/>
            </w:pPr>
            <w:r>
              <w:t xml:space="preserve">A disciplinary procedure has been opened against this French life insurance firm and it </w:t>
            </w:r>
            <w:r w:rsidR="00341A50">
              <w:t xml:space="preserve">led </w:t>
            </w:r>
            <w:r>
              <w:t>to a censure and a</w:t>
            </w:r>
            <w:r w:rsidR="00341A50">
              <w:t xml:space="preserve"> EUR 500 000</w:t>
            </w:r>
            <w:r>
              <w:t xml:space="preserve"> financial </w:t>
            </w:r>
            <w:proofErr w:type="gramStart"/>
            <w:r>
              <w:t>penalty .</w:t>
            </w:r>
            <w:proofErr w:type="gramEnd"/>
          </w:p>
        </w:tc>
      </w:tr>
    </w:tbl>
    <w:p w14:paraId="6E4E30CB" w14:textId="77777777" w:rsidR="00352F37" w:rsidRDefault="00352F37" w:rsidP="00352F37">
      <w:pPr>
        <w:pStyle w:val="Para"/>
      </w:pPr>
      <w:r>
        <w:t>W</w:t>
      </w:r>
      <w:r w:rsidRPr="002D6B7F">
        <w:t>hen assets repatriation</w:t>
      </w:r>
      <w:r>
        <w:t>, voluntary tax compliance programmes</w:t>
      </w:r>
      <w:r w:rsidRPr="002D6B7F">
        <w:t xml:space="preserve"> or tax amnesty incentive</w:t>
      </w:r>
      <w:r>
        <w:t>s</w:t>
      </w:r>
      <w:r w:rsidRPr="002D6B7F">
        <w:t xml:space="preserve"> </w:t>
      </w:r>
      <w:r>
        <w:t>are in place</w:t>
      </w:r>
      <w:r>
        <w:rPr>
          <w:rStyle w:val="FootnoteReference"/>
        </w:rPr>
        <w:footnoteReference w:id="40"/>
      </w:r>
      <w:r>
        <w:t>, the risks of misuse of such programmes</w:t>
      </w:r>
      <w:r w:rsidRPr="002D6B7F">
        <w:t xml:space="preserve"> for ML purposes</w:t>
      </w:r>
      <w:r>
        <w:t xml:space="preserve"> is significant. </w:t>
      </w:r>
      <w:r w:rsidRPr="00D716C7">
        <w:t>Supervisors should therefore pay particular attention to tax-related elements fraud while considering and applying enforcement actions or sanctions</w:t>
      </w:r>
      <w:r w:rsidRPr="00D716C7" w:rsidDel="003E0CE9">
        <w:t xml:space="preserve">. </w:t>
      </w:r>
    </w:p>
    <w:p w14:paraId="6E4E30CC" w14:textId="72BDD36C" w:rsidR="00352F37" w:rsidRPr="003E0CE9" w:rsidRDefault="00352F37" w:rsidP="00352F37">
      <w:pPr>
        <w:pStyle w:val="Para"/>
      </w:pPr>
      <w:r w:rsidRPr="00380E19">
        <w:t>The investigation team of the French supervisor (the ACPR) noted during the on-site AML/CFT inspection of a life insurer breaches of the duty to report suspicious transactions, with identification of several suspicious transactions of high amounts involving repatriation of funds potentially linked to tax breaches for which no STR had been performed. The disciplinary procedure resulted to a reprimand and a financial penalty EUR 1</w:t>
      </w:r>
      <w:r w:rsidR="003162E3">
        <w:t xml:space="preserve"> </w:t>
      </w:r>
      <w:r w:rsidRPr="00380E19">
        <w:t>200 000.</w:t>
      </w:r>
    </w:p>
    <w:tbl>
      <w:tblPr>
        <w:tblW w:w="4643"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8836"/>
      </w:tblGrid>
      <w:tr w:rsidR="00352F37" w:rsidRPr="00961F86" w14:paraId="6E4E30D0" w14:textId="77777777" w:rsidTr="007667A1">
        <w:trPr>
          <w:jc w:val="center"/>
        </w:trPr>
        <w:tc>
          <w:tcPr>
            <w:tcW w:w="5000" w:type="pct"/>
            <w:shd w:val="clear" w:color="auto" w:fill="EDF0F7"/>
          </w:tcPr>
          <w:p w14:paraId="6E4E30CD" w14:textId="7764BDB5" w:rsidR="00352F37" w:rsidRPr="00C632A2" w:rsidRDefault="00352F37" w:rsidP="007667A1">
            <w:pPr>
              <w:pStyle w:val="Caption"/>
              <w:rPr>
                <w:sz w:val="22"/>
                <w:szCs w:val="22"/>
              </w:rPr>
            </w:pPr>
            <w:r w:rsidRPr="00C632A2">
              <w:rPr>
                <w:sz w:val="22"/>
                <w:szCs w:val="22"/>
              </w:rPr>
              <w:lastRenderedPageBreak/>
              <w:t>Box </w:t>
            </w:r>
            <w:r w:rsidR="00C632A2" w:rsidRPr="00C632A2">
              <w:rPr>
                <w:sz w:val="22"/>
                <w:szCs w:val="22"/>
              </w:rPr>
              <w:t>5</w:t>
            </w:r>
            <w:r w:rsidRPr="00C632A2">
              <w:rPr>
                <w:sz w:val="22"/>
                <w:szCs w:val="22"/>
              </w:rPr>
              <w:t>. Example:  sanction against a life insurer in France involving potential tax requirements breaches</w:t>
            </w:r>
          </w:p>
          <w:p w14:paraId="6E4E30CE" w14:textId="1EE6D2B7" w:rsidR="00352F37" w:rsidRDefault="00352F37" w:rsidP="007667A1">
            <w:pPr>
              <w:pStyle w:val="Para0"/>
            </w:pPr>
            <w:r>
              <w:t>The investigation team of the French supervisor (the ACPR) noted during the on-site AML/CFT inspection of a life insurer breaches of the duty to report suspicious transactions, with identification of several suspicious transactions of high amounts involving repatriation of funds potentially linked to tax breaches for which no STR had been performed. The disciplinary procedure resulted to a reprimand and a financial penalty EUR 1</w:t>
            </w:r>
            <w:r w:rsidR="003162E3">
              <w:t xml:space="preserve"> </w:t>
            </w:r>
            <w:r>
              <w:t>200 000.</w:t>
            </w:r>
          </w:p>
          <w:p w14:paraId="6E4E30CF" w14:textId="77777777" w:rsidR="00352F37" w:rsidRPr="00961F86" w:rsidRDefault="00352F37" w:rsidP="007667A1">
            <w:pPr>
              <w:pStyle w:val="Para0"/>
            </w:pPr>
          </w:p>
        </w:tc>
      </w:tr>
    </w:tbl>
    <w:p w14:paraId="6E4E30D1" w14:textId="77777777" w:rsidR="00352F37" w:rsidRDefault="00352F37" w:rsidP="00352F37">
      <w:pPr>
        <w:pStyle w:val="Para0"/>
      </w:pPr>
    </w:p>
    <w:p w14:paraId="6E4E30D2" w14:textId="77777777" w:rsidR="00352F37" w:rsidRDefault="00352F37" w:rsidP="00352F37">
      <w:pPr>
        <w:pStyle w:val="Para0"/>
      </w:pPr>
      <w:r>
        <w:br w:type="page"/>
      </w:r>
    </w:p>
    <w:p w14:paraId="6E4E30D3" w14:textId="77777777" w:rsidR="00352F37" w:rsidRDefault="00352F37" w:rsidP="00352F37">
      <w:pPr>
        <w:pStyle w:val="Heading7"/>
        <w:numPr>
          <w:ilvl w:val="6"/>
          <w:numId w:val="44"/>
        </w:numPr>
      </w:pPr>
      <w:bookmarkStart w:id="97" w:name="_Toc517968073"/>
      <w:r w:rsidRPr="00756F55">
        <w:lastRenderedPageBreak/>
        <w:t>NON-LIFE INSURANCE</w:t>
      </w:r>
      <w:bookmarkEnd w:id="97"/>
    </w:p>
    <w:p w14:paraId="6E4E30D4" w14:textId="77777777" w:rsidR="00352F37" w:rsidRDefault="00352F37" w:rsidP="00352F37">
      <w:pPr>
        <w:pStyle w:val="Para"/>
      </w:pPr>
      <w:r>
        <w:t>Non-life insurance, due to its general product features and inherent characteristics, is difficult to use for ML/TF purposes. Non-life insurance products protect the insured from financial losses arising from specific casualties covered by the policy. Examples of non-life products include insurance coverage for automobile physical damage, personal and commercial liability, loss or damage to freight, home (fire and other property damage), and travel delay and repatriation. . Non-life products have no accumulated cash or investment value. The premium paid by the policyholder is related to the purchase of an insurance policy for a certain period of time and if the associated policy is cancelled, the monetary impact is usually limited to a potential return of the unexpired or unused premium. i.e.,</w:t>
      </w:r>
    </w:p>
    <w:p w14:paraId="6E4E30D5" w14:textId="77777777" w:rsidR="00352F37" w:rsidRDefault="00352F37" w:rsidP="00352F37">
      <w:pPr>
        <w:pStyle w:val="Para"/>
      </w:pPr>
      <w:r>
        <w:t xml:space="preserve">The FATF Glossary excludes non-life insurance activities from the activities performed by “financial institutions” which fall under the scope of the FATF requirements on customer due diligence. As a result the FATF Recommendations (with the exception of TF/PF targeted sanctions) do not apply to non-life insurance, and this Guidance does not target non-life insurance activities. </w:t>
      </w:r>
    </w:p>
    <w:p w14:paraId="6E4E30D6" w14:textId="77777777" w:rsidR="00352F37" w:rsidRDefault="00352F37" w:rsidP="00352F37">
      <w:pPr>
        <w:pStyle w:val="Para"/>
      </w:pPr>
      <w:r>
        <w:t>However, as with almost all commercial activities, there may be a limited number of scenarios in which non-life insurance products might be misused for ML and TF purposes (</w:t>
      </w:r>
      <w:r w:rsidRPr="0095417B">
        <w:t>see examples below</w:t>
      </w:r>
      <w:r>
        <w:t xml:space="preserve">), and some jurisdictions choose to include non-life insurance activities in their AML/CFT framework, based on their specific, national risk evaluations. This annex is intended to facilitate the understanding of specific potential ML/TF risks related to certain non-life insurance products, and familiarize interested stakeholders with mitigation measures for consideration in complying with requirements of such national AML/CFT frameworks. </w:t>
      </w:r>
    </w:p>
    <w:p w14:paraId="6E4E30D7" w14:textId="77777777" w:rsidR="00352F37" w:rsidRDefault="00352F37" w:rsidP="00352F37">
      <w:pPr>
        <w:pStyle w:val="Para"/>
      </w:pPr>
      <w:r>
        <w:t>Examples where non-life insurance products might be misused for ML and TF include:</w:t>
      </w:r>
    </w:p>
    <w:p w14:paraId="6E4E30D8" w14:textId="77777777" w:rsidR="00352F37" w:rsidRDefault="00352F37" w:rsidP="00352F37">
      <w:pPr>
        <w:pStyle w:val="BulletedList"/>
        <w:numPr>
          <w:ilvl w:val="0"/>
          <w:numId w:val="46"/>
        </w:numPr>
        <w:ind w:left="993"/>
      </w:pPr>
      <w:r>
        <w:t>utilization of illicit funds for the premiums payments, or a significant overpayment of premiums followed by a refund request for the full amount or the amount overpaid;</w:t>
      </w:r>
    </w:p>
    <w:p w14:paraId="6E4E30D9" w14:textId="77777777" w:rsidR="00352F37" w:rsidRDefault="00352F37" w:rsidP="00352F37">
      <w:pPr>
        <w:pStyle w:val="BulletedList"/>
        <w:numPr>
          <w:ilvl w:val="0"/>
          <w:numId w:val="46"/>
        </w:numPr>
        <w:ind w:left="993"/>
      </w:pPr>
      <w:r>
        <w:t>Intentionally caused, inflated or fraudulent claims, e.g., criminals who buy cars, boats or other assets in cash, obtain insurance cover on the assets, and then intentionally destroy the asset in order to access funds through an insurance claim, which then appear legitimate.</w:t>
      </w:r>
    </w:p>
    <w:p w14:paraId="762DE591" w14:textId="77777777" w:rsidR="008244C6" w:rsidRDefault="00352F37" w:rsidP="008244C6">
      <w:pPr>
        <w:pStyle w:val="Para0"/>
        <w:pBdr>
          <w:top w:val="single" w:sz="4" w:space="1" w:color="auto"/>
          <w:left w:val="single" w:sz="4" w:space="4" w:color="auto"/>
          <w:bottom w:val="single" w:sz="4" w:space="1" w:color="auto"/>
          <w:right w:val="single" w:sz="4" w:space="4" w:color="auto"/>
        </w:pBdr>
        <w:shd w:val="clear" w:color="auto" w:fill="F2F2F2" w:themeFill="background1" w:themeFillShade="F2"/>
        <w:ind w:left="360"/>
        <w:jc w:val="center"/>
        <w:rPr>
          <w:b/>
        </w:rPr>
      </w:pPr>
      <w:r>
        <w:rPr>
          <w:b/>
        </w:rPr>
        <w:t xml:space="preserve">Box A.1 </w:t>
      </w:r>
      <w:r w:rsidR="00B57EC0">
        <w:rPr>
          <w:b/>
        </w:rPr>
        <w:t>Non-life insurance fraud, m</w:t>
      </w:r>
      <w:r w:rsidRPr="00217E15">
        <w:rPr>
          <w:b/>
        </w:rPr>
        <w:t xml:space="preserve">oney laundering </w:t>
      </w:r>
      <w:r w:rsidR="00B57EC0">
        <w:rPr>
          <w:b/>
        </w:rPr>
        <w:t xml:space="preserve">and terrorism financing </w:t>
      </w:r>
      <w:r w:rsidRPr="00217E15">
        <w:rPr>
          <w:b/>
        </w:rPr>
        <w:t>in the context of organized crime and terrorism</w:t>
      </w:r>
      <w:r>
        <w:rPr>
          <w:b/>
        </w:rPr>
        <w:t xml:space="preserve"> in France</w:t>
      </w:r>
    </w:p>
    <w:p w14:paraId="19E3AD2E" w14:textId="77777777" w:rsidR="008244C6" w:rsidRDefault="00352F37" w:rsidP="008244C6">
      <w:pPr>
        <w:pStyle w:val="Para0"/>
        <w:pBdr>
          <w:top w:val="single" w:sz="4" w:space="1" w:color="auto"/>
          <w:left w:val="single" w:sz="4" w:space="4" w:color="auto"/>
          <w:bottom w:val="single" w:sz="4" w:space="1" w:color="auto"/>
          <w:right w:val="single" w:sz="4" w:space="4" w:color="auto"/>
        </w:pBdr>
        <w:shd w:val="clear" w:color="auto" w:fill="F2F2F2" w:themeFill="background1" w:themeFillShade="F2"/>
        <w:ind w:left="360"/>
        <w:rPr>
          <w:b/>
        </w:rPr>
      </w:pPr>
      <w:r>
        <w:t>An insurance contract policy is signed with a brokerage company dealing with second-hand cars. The purpose of the contract is to ensure vehicles and refund the purchase in case of total loss. Less than two years after the creation of the company, 10 vehicles are damaged by a fire (all of those vehicles were held for resale only). The prejudice of the company amounts to EUR 85 000. The purchase book of the company shows that the vehicles had been all purchased in cash.</w:t>
      </w:r>
    </w:p>
    <w:p w14:paraId="6E4E30DC" w14:textId="4E777562" w:rsidR="00352F37" w:rsidRPr="008244C6" w:rsidRDefault="00352F37" w:rsidP="008244C6">
      <w:pPr>
        <w:pStyle w:val="Para0"/>
        <w:pBdr>
          <w:top w:val="single" w:sz="4" w:space="1" w:color="auto"/>
          <w:left w:val="single" w:sz="4" w:space="4" w:color="auto"/>
          <w:bottom w:val="single" w:sz="4" w:space="1" w:color="auto"/>
          <w:right w:val="single" w:sz="4" w:space="4" w:color="auto"/>
        </w:pBdr>
        <w:shd w:val="clear" w:color="auto" w:fill="F2F2F2" w:themeFill="background1" w:themeFillShade="F2"/>
        <w:ind w:left="360"/>
        <w:rPr>
          <w:b/>
        </w:rPr>
      </w:pPr>
      <w:r>
        <w:t xml:space="preserve">Further investigations uncovered new elements: the company’s owner belongs to a criminal network who handles large amounts of cash (generated by violent money extortion, </w:t>
      </w:r>
      <w:r>
        <w:lastRenderedPageBreak/>
        <w:t xml:space="preserve">burglaries, theft and concealment, drug trafficking) to be laundered notably through insurance fraud. The CEO is in relation with another individual (from the same criminal community), who is a taxi driver that occasionally deals with purchase and resale of undeclared vehicles. The analysis of financial flows showed that this taxi driver transmitted part of the cash generated to a transferee of funds based in </w:t>
      </w:r>
      <w:r w:rsidR="009C335E">
        <w:t>a country</w:t>
      </w:r>
      <w:r>
        <w:t xml:space="preserve"> near the Syrian border. This individual is suspected of channelling funds to jihadist fighters.</w:t>
      </w:r>
    </w:p>
    <w:p w14:paraId="6E4E30DD" w14:textId="77777777" w:rsidR="00352F37" w:rsidRDefault="00352F37" w:rsidP="00352F37">
      <w:pPr>
        <w:pStyle w:val="Para"/>
      </w:pPr>
      <w:r>
        <w:t>In the context of terrorism threats, some TF risks have been highlighted in relation to kidnaping and ransom insurance.</w:t>
      </w:r>
      <w:r>
        <w:rPr>
          <w:rStyle w:val="FootnoteReference"/>
        </w:rPr>
        <w:footnoteReference w:id="41"/>
      </w:r>
      <w:r>
        <w:t xml:space="preserve"> Insurers and intermediaries should take appropriate steps to ensure that policy </w:t>
      </w:r>
      <w:proofErr w:type="spellStart"/>
      <w:r>
        <w:t>payouts</w:t>
      </w:r>
      <w:proofErr w:type="spellEnd"/>
      <w:r>
        <w:t xml:space="preserve"> are not directly or indirectly funding terrorist activities. </w:t>
      </w:r>
    </w:p>
    <w:p w14:paraId="6E4E30DE" w14:textId="77777777" w:rsidR="00352F37" w:rsidRDefault="00352F37" w:rsidP="00352F37">
      <w:pPr>
        <w:pStyle w:val="Para"/>
      </w:pPr>
      <w:r>
        <w:t xml:space="preserve">Unlike the typical misuse of financial products for ML/TF purposes, in the above examples, the insurer generally suffers financial loss by the illicit conduct of customers </w:t>
      </w:r>
      <w:r w:rsidRPr="003D71DE">
        <w:t>and will have appropriate commercial controls in place to prevent that</w:t>
      </w:r>
      <w:r>
        <w:t xml:space="preserve"> loss.</w:t>
      </w:r>
    </w:p>
    <w:p w14:paraId="6E4E30DF" w14:textId="77777777" w:rsidR="00352F37" w:rsidRDefault="00352F37" w:rsidP="00352F37">
      <w:pPr>
        <w:pStyle w:val="Para"/>
      </w:pPr>
      <w:r>
        <w:t xml:space="preserve">Public sector authorities should provide clear guidance and adopt measures to reduce potential ML/TF risks in non-life insurance sectors such as prohibiting the use of cash for insurance settlements.  </w:t>
      </w:r>
      <w:r w:rsidRPr="005223CB">
        <w:t xml:space="preserve">Insurance firms should ensure that policy </w:t>
      </w:r>
      <w:proofErr w:type="spellStart"/>
      <w:r w:rsidRPr="005223CB">
        <w:t>payouts</w:t>
      </w:r>
      <w:proofErr w:type="spellEnd"/>
      <w:r w:rsidRPr="005223CB">
        <w:t xml:space="preserve"> are not made to a person subject to a sanction list.</w:t>
      </w:r>
    </w:p>
    <w:p w14:paraId="6E4E30E0" w14:textId="77777777" w:rsidR="00352F37" w:rsidRDefault="00352F37" w:rsidP="00352F37">
      <w:pPr>
        <w:pStyle w:val="Para"/>
      </w:pPr>
      <w:r>
        <w:t>Non-life insurers or intermediaries involved in international businesses and offering products with higher ML/TF risks should make themselves aware of the national legal restrictions and/or requirements applicable to their businesses and adopt appropriate ML/TF risk mitigation measures</w:t>
      </w:r>
      <w:r w:rsidRPr="005223CB">
        <w:t xml:space="preserve"> which commensurate the risks.</w:t>
      </w:r>
      <w:r>
        <w:t xml:space="preserve"> Mitigation measures required for non-life products can be different than those relevant for life insurance products and specific controls should be adopted for different products.</w:t>
      </w:r>
    </w:p>
    <w:p w14:paraId="6E4E30E1" w14:textId="77777777" w:rsidR="00352F37" w:rsidRDefault="00352F37" w:rsidP="00352F37">
      <w:pPr>
        <w:pStyle w:val="Para"/>
      </w:pPr>
      <w:r>
        <w:t>There are also some limited scenarios in which specific non-life insurance    products, while not themselves being used for ML or TF purposes, may provide the insurer with the ability to detect suspicious underlying insured activity, including related to the financing of proliferation of mass destruction weapons</w:t>
      </w:r>
      <w:r>
        <w:rPr>
          <w:rStyle w:val="FootnoteReference"/>
        </w:rPr>
        <w:footnoteReference w:id="42"/>
      </w:r>
      <w:r>
        <w:t xml:space="preserve"> (PF WMD) and/or in violation of financial sanctions requirements. An example is marine cargo insurance when the underlying transaction may include goods that could be used for WMD activities, or be transported in violation of economic sanctions. In such instances and where permitted by law, the termination of the insurance coverage should be considered.</w:t>
      </w:r>
    </w:p>
    <w:p w14:paraId="6E4E30E2" w14:textId="7B4BBF31" w:rsidR="00352F37" w:rsidRDefault="00352F37" w:rsidP="00352F37">
      <w:pPr>
        <w:pStyle w:val="Para"/>
      </w:pPr>
      <w:r>
        <w:t xml:space="preserve">In addition, when non-life insurers or intermediaries become aware of suspicious ML/TF activities an STR should be filed in accordance with national requirements, and insurers or intermediaries must be </w:t>
      </w:r>
      <w:r w:rsidRPr="00AE792E">
        <w:t>protected by law from criminal and civil liability for breach of any restriction on disclosure of information</w:t>
      </w:r>
      <w:r>
        <w:t xml:space="preserve"> (in accordance with the provisions of R. 21</w:t>
      </w:r>
      <w:r w:rsidR="00341A50">
        <w:t>)</w:t>
      </w:r>
      <w:r>
        <w:t xml:space="preserve">.  </w:t>
      </w:r>
    </w:p>
    <w:p w14:paraId="6E4E30E3" w14:textId="77777777" w:rsidR="00352F37" w:rsidRDefault="00352F37" w:rsidP="00352F37">
      <w:pPr>
        <w:pStyle w:val="Heading7"/>
        <w:numPr>
          <w:ilvl w:val="6"/>
          <w:numId w:val="44"/>
        </w:numPr>
        <w:ind w:firstLine="289"/>
      </w:pPr>
      <w:bookmarkStart w:id="98" w:name="_Toc509840577"/>
      <w:bookmarkStart w:id="99" w:name="_Toc517968074"/>
      <w:r w:rsidRPr="00793A43">
        <w:lastRenderedPageBreak/>
        <w:t>REINSURANCE</w:t>
      </w:r>
      <w:bookmarkEnd w:id="98"/>
      <w:bookmarkEnd w:id="99"/>
    </w:p>
    <w:p w14:paraId="6E4E30E4" w14:textId="40B46E80" w:rsidR="00352F37" w:rsidRDefault="00352F37" w:rsidP="00352F37">
      <w:pPr>
        <w:pStyle w:val="Para"/>
      </w:pPr>
      <w:r>
        <w:t xml:space="preserve">The customers of reinsurers are insurers or other reinsurers. The risk of regulated insurers </w:t>
      </w:r>
      <w:r w:rsidR="00341A50">
        <w:t xml:space="preserve">or reinsurers </w:t>
      </w:r>
      <w:r>
        <w:t xml:space="preserve">exploiting reinsurance to conduct ML or TF is considered to be lower, if the ceding insurer is a small company located in a jurisdiction which does not have effective AML/CFT supervision there may be a more elevated risk.  In many cases, however, what is perceived as the likeliest forms of ML through reinsurance are in fact forms of fraud, e.g., fictitious or inflated placements, premiums or claims (see box on IAIS typologies below).  </w:t>
      </w:r>
    </w:p>
    <w:p w14:paraId="6E4E30E5" w14:textId="77777777" w:rsidR="00352F37" w:rsidRDefault="00352F37" w:rsidP="00352F37">
      <w:pPr>
        <w:pStyle w:val="Para"/>
      </w:pPr>
      <w:r>
        <w:t>Reinsurers have minimal ability to, and in general are not expected to, conduct CDD on the customers of their customers (i.e., the policyholders of ceding insurers or reinsurers). A useful analogy is found in the FATF Guidance on Correspondent Banking Services</w:t>
      </w:r>
      <w:r>
        <w:rPr>
          <w:rStyle w:val="FootnoteReference"/>
        </w:rPr>
        <w:footnoteReference w:id="43"/>
      </w:r>
      <w:r>
        <w:t>: ‘</w:t>
      </w:r>
      <w:r w:rsidRPr="008F70F8">
        <w:rPr>
          <w:i/>
        </w:rPr>
        <w:t>The term KYCC has created a lot of confusion. To clarify, the FATF Recommendations do not require financial institutions to conduct customer due diligence on the customers of their customer (</w:t>
      </w:r>
      <w:r>
        <w:rPr>
          <w:i/>
        </w:rPr>
        <w:t>i.e.,</w:t>
      </w:r>
      <w:r w:rsidRPr="008F70F8">
        <w:rPr>
          <w:i/>
        </w:rPr>
        <w:t xml:space="preserve"> each individual underlying customer). In a correspondent banking relationship, the correspondent institution will monitor the respondent institution’s transactions with a view to detecting any changes in the respondent institution’s risk profile or implementation of risk mitigation measures (</w:t>
      </w:r>
      <w:r>
        <w:rPr>
          <w:i/>
        </w:rPr>
        <w:t>i.e.,</w:t>
      </w:r>
      <w:r w:rsidRPr="008F70F8">
        <w:rPr>
          <w:i/>
        </w:rPr>
        <w:t xml:space="preserve"> compliance with AML/CFT measures and applicable targeted financial sanctions), any unusual activity or transaction on the part of the respondent, or any potential deviations from the agreed terms of the arrangements governing the correspondent relationship. In practice, where such concerns are detected, the correspondent institution will follow up with the respondent institution by making a request for information (RFI) on any particular transaction(s), possibly leading to more information being requested on a specific customer or customers of the respondent bank. There is no expectation, intention or requirement for the correspondent institution to conduct customer due diligence on its respondent institution’ customers</w:t>
      </w:r>
      <w:r>
        <w:t>.”</w:t>
      </w:r>
    </w:p>
    <w:p w14:paraId="6E4E30E6" w14:textId="64FFF199" w:rsidR="00352F37" w:rsidRDefault="00352F37" w:rsidP="00352F37">
      <w:pPr>
        <w:pStyle w:val="Para"/>
      </w:pPr>
      <w:r>
        <w:t>As a matter of good practice, reinsurers should, through their regular commercial diligence, seek to transact only with insurers that have adequate AML/CFT compliance programmes in place.</w:t>
      </w:r>
      <w:r w:rsidRPr="00765390">
        <w:rPr>
          <w:rStyle w:val="FootnoteReference"/>
        </w:rPr>
        <w:t xml:space="preserve"> </w:t>
      </w:r>
      <w:r>
        <w:rPr>
          <w:rStyle w:val="FootnoteReference"/>
        </w:rPr>
        <w:footnoteReference w:id="44"/>
      </w:r>
      <w:r>
        <w:t xml:space="preserve"> Consideration should be given to including specific AML/CFT control expectations of the ceding insurer and the remediation requirements, should control fail within the reinsurance </w:t>
      </w:r>
      <w:r w:rsidR="00C632A2">
        <w:t>contract</w:t>
      </w:r>
      <w:r>
        <w:t xml:space="preserve">. Prior to entering into reinsurance arrangements, the reinsurers’ due diligence process should include gathering information (including information from </w:t>
      </w:r>
      <w:r w:rsidR="00C632A2">
        <w:t xml:space="preserve">lead underwriters and </w:t>
      </w:r>
      <w:r>
        <w:t xml:space="preserve">reinsurance intermediaries, such as brokers) related to the effectiveness of ceding life insurers’ AML/CFT compliance programmes. Reinsurers should have periodic updates to their original due diligence </w:t>
      </w:r>
    </w:p>
    <w:p w14:paraId="6E4E30E7" w14:textId="77777777" w:rsidR="00352F37" w:rsidRDefault="00352F37" w:rsidP="00352F37">
      <w:pPr>
        <w:pStyle w:val="Para"/>
      </w:pPr>
      <w:r>
        <w:t>In certain contexts, reinsurers may have the opportunity to support ceding insurers in the detection of possible ML/TF.  In particular:</w:t>
      </w:r>
    </w:p>
    <w:p w14:paraId="6E4E30E8" w14:textId="77777777" w:rsidR="00352F37" w:rsidRDefault="00352F37" w:rsidP="00352F37">
      <w:pPr>
        <w:pStyle w:val="BulletedList"/>
        <w:numPr>
          <w:ilvl w:val="0"/>
          <w:numId w:val="23"/>
        </w:numPr>
      </w:pPr>
      <w:r>
        <w:lastRenderedPageBreak/>
        <w:t>Facultative reinsurance</w:t>
      </w:r>
      <w:r>
        <w:rPr>
          <w:rStyle w:val="FootnoteReference"/>
        </w:rPr>
        <w:footnoteReference w:id="45"/>
      </w:r>
      <w:r>
        <w:t>, in which details of each underlying insureds are provided to the reinsurer by the insurer, may provide an opportunity for the reinsurer, through its customary underwriting practices, to identify unusual activity;</w:t>
      </w:r>
    </w:p>
    <w:p w14:paraId="6E4E30E9" w14:textId="77777777" w:rsidR="00352F37" w:rsidRDefault="00352F37" w:rsidP="00352F37">
      <w:pPr>
        <w:pStyle w:val="BulletedList"/>
        <w:numPr>
          <w:ilvl w:val="0"/>
          <w:numId w:val="23"/>
        </w:numPr>
      </w:pPr>
      <w:r>
        <w:t>Marine reinsurance, if details of underlying covers are provided and might indicate shipments related to weapons or nuclear proliferation activity</w:t>
      </w:r>
    </w:p>
    <w:p w14:paraId="6E4E30EA" w14:textId="77777777" w:rsidR="00352F37" w:rsidRDefault="00352F37" w:rsidP="00352F37">
      <w:pPr>
        <w:pStyle w:val="Para"/>
      </w:pPr>
      <w:r>
        <w:t>When reinsurers become aware of possible AML/CTF or proliferation issues regarding underlying customers, they should collaborate with the ceding insurers or reinsurers on disclosure to appropriate authorities or consider filing a STR.</w:t>
      </w:r>
    </w:p>
    <w:tbl>
      <w:tblPr>
        <w:tblW w:w="4643" w:type="pct"/>
        <w:jc w:val="center"/>
        <w:tblBorders>
          <w:top w:val="single" w:sz="4" w:space="0" w:color="auto"/>
          <w:left w:val="single" w:sz="4" w:space="0" w:color="auto"/>
          <w:bottom w:val="single" w:sz="4" w:space="0" w:color="auto"/>
          <w:right w:val="single" w:sz="4" w:space="0" w:color="auto"/>
        </w:tblBorders>
        <w:shd w:val="clear" w:color="auto" w:fill="EDF0F7"/>
        <w:tblCellMar>
          <w:top w:w="113" w:type="dxa"/>
          <w:bottom w:w="142" w:type="dxa"/>
        </w:tblCellMar>
        <w:tblLook w:val="0000" w:firstRow="0" w:lastRow="0" w:firstColumn="0" w:lastColumn="0" w:noHBand="0" w:noVBand="0"/>
      </w:tblPr>
      <w:tblGrid>
        <w:gridCol w:w="8836"/>
      </w:tblGrid>
      <w:tr w:rsidR="00352F37" w:rsidRPr="00961F86" w14:paraId="6E4E30F0" w14:textId="77777777" w:rsidTr="007667A1">
        <w:trPr>
          <w:jc w:val="center"/>
        </w:trPr>
        <w:tc>
          <w:tcPr>
            <w:tcW w:w="5000" w:type="pct"/>
            <w:shd w:val="clear" w:color="auto" w:fill="EDF0F7"/>
          </w:tcPr>
          <w:p w14:paraId="6E4E30EB" w14:textId="77777777" w:rsidR="00352F37" w:rsidRPr="00C632A2" w:rsidRDefault="00352F37" w:rsidP="007667A1">
            <w:pPr>
              <w:pStyle w:val="Caption"/>
              <w:ind w:left="87" w:right="170"/>
              <w:rPr>
                <w:sz w:val="22"/>
                <w:szCs w:val="22"/>
              </w:rPr>
            </w:pPr>
            <w:r w:rsidRPr="00C632A2">
              <w:rPr>
                <w:sz w:val="22"/>
                <w:szCs w:val="22"/>
              </w:rPr>
              <w:t>Box </w:t>
            </w:r>
            <w:r w:rsidRPr="00C632A2">
              <w:rPr>
                <w:sz w:val="22"/>
                <w:szCs w:val="22"/>
              </w:rPr>
              <w:fldChar w:fldCharType="begin"/>
            </w:r>
            <w:r w:rsidRPr="00C632A2">
              <w:rPr>
                <w:sz w:val="22"/>
                <w:szCs w:val="22"/>
              </w:rPr>
              <w:instrText xml:space="preserve"> STYLEREF 7 \s </w:instrText>
            </w:r>
            <w:r w:rsidRPr="00C632A2">
              <w:rPr>
                <w:sz w:val="22"/>
                <w:szCs w:val="22"/>
              </w:rPr>
              <w:fldChar w:fldCharType="separate"/>
            </w:r>
            <w:r w:rsidR="006E4FC1" w:rsidRPr="00C632A2">
              <w:rPr>
                <w:noProof/>
                <w:sz w:val="22"/>
                <w:szCs w:val="22"/>
              </w:rPr>
              <w:t>B</w:t>
            </w:r>
            <w:r w:rsidRPr="00C632A2">
              <w:rPr>
                <w:sz w:val="22"/>
                <w:szCs w:val="22"/>
              </w:rPr>
              <w:fldChar w:fldCharType="end"/>
            </w:r>
            <w:r w:rsidRPr="00C632A2">
              <w:rPr>
                <w:sz w:val="22"/>
                <w:szCs w:val="22"/>
              </w:rPr>
              <w:t>.</w:t>
            </w:r>
            <w:r w:rsidRPr="00C632A2">
              <w:rPr>
                <w:sz w:val="22"/>
                <w:szCs w:val="22"/>
              </w:rPr>
              <w:fldChar w:fldCharType="begin"/>
            </w:r>
            <w:r w:rsidRPr="00C632A2">
              <w:rPr>
                <w:sz w:val="22"/>
                <w:szCs w:val="22"/>
              </w:rPr>
              <w:instrText xml:space="preserve"> SEQ Box_A \* ARABIC \s 7 </w:instrText>
            </w:r>
            <w:r w:rsidRPr="00C632A2">
              <w:rPr>
                <w:sz w:val="22"/>
                <w:szCs w:val="22"/>
              </w:rPr>
              <w:fldChar w:fldCharType="separate"/>
            </w:r>
            <w:r w:rsidR="006E4FC1" w:rsidRPr="00C632A2">
              <w:rPr>
                <w:noProof/>
                <w:sz w:val="22"/>
                <w:szCs w:val="22"/>
              </w:rPr>
              <w:t>1</w:t>
            </w:r>
            <w:r w:rsidRPr="00C632A2">
              <w:rPr>
                <w:sz w:val="22"/>
                <w:szCs w:val="22"/>
              </w:rPr>
              <w:fldChar w:fldCharType="end"/>
            </w:r>
            <w:r w:rsidRPr="00C632A2">
              <w:rPr>
                <w:sz w:val="22"/>
                <w:szCs w:val="22"/>
              </w:rPr>
              <w:t>. Reinsurance case studies from IAIS application paper on combating ML/TF</w:t>
            </w:r>
          </w:p>
          <w:p w14:paraId="6E4E30EC" w14:textId="77777777" w:rsidR="00352F37" w:rsidRPr="008F70F8" w:rsidRDefault="00352F37" w:rsidP="007667A1">
            <w:pPr>
              <w:pStyle w:val="Para0"/>
              <w:ind w:left="87" w:right="170"/>
              <w:rPr>
                <w:i/>
              </w:rPr>
            </w:pPr>
            <w:r w:rsidRPr="008F70F8">
              <w:rPr>
                <w:i/>
              </w:rPr>
              <w:t>Case study 1</w:t>
            </w:r>
          </w:p>
          <w:p w14:paraId="6E4E30ED" w14:textId="77777777" w:rsidR="00352F37" w:rsidRDefault="00352F37" w:rsidP="007667A1">
            <w:pPr>
              <w:pStyle w:val="Para0"/>
              <w:ind w:left="87" w:right="170"/>
            </w:pPr>
            <w:r>
              <w:t>An insurer in Country A sought reinsurance with a reputable reinsurer in Country B for its directors and officers cover of an investment firm in Country A. The insurer was prepared to pay four times the market rate for the requested reinsurance cover. This raised the suspicion of the reinsurer which contacted law enforcement agencies. Investigation made clear that the investment firm was bogus and controlled by criminals with a drug background. The insurer had ownership links with the investment firm. The impression is that - although drug money would be laundered by a payment received from the reinsurer – the main purpose was to create the appearance of legitimacy by using the name of a reputable reinsurer. By offering to pay above market rate the insurer probably intended to assure continuation of the reinsurance arrangement.</w:t>
            </w:r>
          </w:p>
          <w:p w14:paraId="6E4E30EE" w14:textId="77777777" w:rsidR="00352F37" w:rsidRPr="008F70F8" w:rsidRDefault="00352F37" w:rsidP="007667A1">
            <w:pPr>
              <w:pStyle w:val="Para0"/>
              <w:ind w:left="87" w:right="170"/>
              <w:rPr>
                <w:i/>
              </w:rPr>
            </w:pPr>
            <w:r w:rsidRPr="008F70F8">
              <w:rPr>
                <w:i/>
              </w:rPr>
              <w:t>Case study 2</w:t>
            </w:r>
          </w:p>
          <w:p w14:paraId="6E4E30EF" w14:textId="77777777" w:rsidR="00352F37" w:rsidRPr="00961F86" w:rsidRDefault="00352F37" w:rsidP="007667A1">
            <w:pPr>
              <w:pStyle w:val="Para0"/>
              <w:ind w:left="87" w:right="170"/>
            </w:pPr>
            <w:r>
              <w:t xml:space="preserve">A group of persons with interests in home construction effected a payment in favour of construction company A under contracts connected with their participation in investment construction (at cost price). Insurer P accepted possible financial risks to these contracts under a contract of financial risks insurance and received an insurance premium. At the same time, insurer P concluded with construction company A </w:t>
            </w:r>
            <w:proofErr w:type="spellStart"/>
            <w:r>
              <w:t>a</w:t>
            </w:r>
            <w:proofErr w:type="spellEnd"/>
            <w:r>
              <w:t xml:space="preserve"> secret agreement providing that the difference between the market cost of housing and the cost price was transferred in favour of the insurer as a premium under the contract of financial risks insurance. When the funds were received by insurer P they were transferred as premium under a reinsurance agreement with in favour of insurer X. By way of fictitious service contracts and commission payments made under an agency contract, insurer X channelled the funds to several off-shore shell firms. Beneficiaries of the actual profit, being withdrawn abroad to the shell companies, were owners and directors of the construction company A.</w:t>
            </w:r>
          </w:p>
        </w:tc>
      </w:tr>
    </w:tbl>
    <w:p w14:paraId="6E4E30F1" w14:textId="77777777" w:rsidR="00352F37" w:rsidRDefault="00352F37" w:rsidP="00352F37">
      <w:pPr>
        <w:pStyle w:val="Para0"/>
      </w:pPr>
      <w:r>
        <w:br w:type="page"/>
      </w:r>
    </w:p>
    <w:p w14:paraId="6E4E30F2" w14:textId="77777777" w:rsidR="00352F37" w:rsidRDefault="00352F37" w:rsidP="00352F37">
      <w:pPr>
        <w:pStyle w:val="Heading7"/>
        <w:numPr>
          <w:ilvl w:val="6"/>
          <w:numId w:val="44"/>
        </w:numPr>
        <w:ind w:left="680" w:right="680" w:firstLine="289"/>
      </w:pPr>
      <w:r>
        <w:lastRenderedPageBreak/>
        <w:t xml:space="preserve"> </w:t>
      </w:r>
      <w:bookmarkStart w:id="100" w:name="_Toc517968075"/>
      <w:r>
        <w:t>EXAMPLES OF RISK FACTORS RELEVANT FOR THE ML/TF RISK ASSESSMENTS OF INSURANCE ENTITIES</w:t>
      </w:r>
      <w:bookmarkEnd w:id="100"/>
      <w:r>
        <w:t xml:space="preserve"> </w:t>
      </w:r>
    </w:p>
    <w:p w14:paraId="6E4E30F3" w14:textId="77777777" w:rsidR="00352F37" w:rsidRDefault="00352F37" w:rsidP="00352F37">
      <w:pPr>
        <w:pStyle w:val="Para"/>
      </w:pPr>
      <w:r>
        <w:t xml:space="preserve">This Annex provides examples of different categories of risk factors relevant in an insurance context, highlights red flags and outlines mitigating factors which an insurer or intermediary may wish to take into account when performing risk assessments. </w:t>
      </w:r>
      <w:r w:rsidRPr="00A366E2">
        <w:t>The same risk may be regarded as high</w:t>
      </w:r>
      <w:r>
        <w:t>er</w:t>
      </w:r>
      <w:r w:rsidRPr="00A366E2">
        <w:t xml:space="preserve"> in one jurisdiction while in another jurisdiction it may be regarded as low</w:t>
      </w:r>
      <w:r>
        <w:t>er</w:t>
      </w:r>
      <w:r w:rsidRPr="00A366E2">
        <w:t xml:space="preserve"> </w:t>
      </w:r>
      <w:r>
        <w:t>risk</w:t>
      </w:r>
      <w:r w:rsidRPr="00A366E2">
        <w:t xml:space="preserve"> depending on the circumstances prevailing in the jurisdiction. </w:t>
      </w:r>
      <w:r>
        <w:t xml:space="preserve"> It should be read in conjunction Section II of this Guidance, as well as the applicable national and sectoral risk assessments. </w:t>
      </w:r>
    </w:p>
    <w:p w14:paraId="6E4E30F4" w14:textId="77777777" w:rsidR="00352F37" w:rsidRDefault="00352F37" w:rsidP="00352F37">
      <w:pPr>
        <w:pStyle w:val="Para"/>
      </w:pPr>
      <w:r>
        <w:t xml:space="preserve">Where a risk factor is coupled with one or more red flag indicators, insurers and intermediaries may wish to apply a more stringent approach to CDD and monitoring. The following are risk factors which an insurer or intermediary can consider when performing their risk assessment. </w:t>
      </w:r>
    </w:p>
    <w:p w14:paraId="6E4E30F5" w14:textId="77777777" w:rsidR="00352F37" w:rsidRPr="008F70F8" w:rsidRDefault="00352F37" w:rsidP="00352F37">
      <w:pPr>
        <w:pStyle w:val="Para0"/>
        <w:rPr>
          <w:b/>
          <w:i/>
        </w:rPr>
      </w:pPr>
      <w:r w:rsidRPr="008F70F8">
        <w:rPr>
          <w:b/>
          <w:i/>
        </w:rPr>
        <w:t xml:space="preserve">Product risk factors </w:t>
      </w:r>
    </w:p>
    <w:p w14:paraId="6E4E30F6" w14:textId="77777777" w:rsidR="00352F37" w:rsidRDefault="00352F37" w:rsidP="00352F37">
      <w:pPr>
        <w:pStyle w:val="Para"/>
      </w:pPr>
      <w:r>
        <w:t xml:space="preserve">Product risk is assessed by identifying how vulnerable a product is to money laundering and terrorist financing based on the product’s design. Product risk should be assessed periodically and when significant changes are made to product offerings (including the development of new products/services). Product risk is a significant factor in identifying unusual activity. </w:t>
      </w:r>
    </w:p>
    <w:p w14:paraId="6E4E30F7" w14:textId="77777777" w:rsidR="00352F37" w:rsidRDefault="00352F37" w:rsidP="00352F37">
      <w:pPr>
        <w:pStyle w:val="Para"/>
      </w:pPr>
      <w:r>
        <w:t xml:space="preserve">The following table describes attributes used to assess the vulnerability of product offerings and provides lower and higher risk examples. </w:t>
      </w:r>
    </w:p>
    <w:tbl>
      <w:tblPr>
        <w:tblStyle w:val="TableGrid0"/>
        <w:tblW w:w="5000" w:type="pct"/>
        <w:tblInd w:w="0" w:type="dxa"/>
        <w:tblCellMar>
          <w:top w:w="29" w:type="dxa"/>
          <w:left w:w="42" w:type="dxa"/>
          <w:right w:w="10" w:type="dxa"/>
        </w:tblCellMar>
        <w:tblLook w:val="04A0" w:firstRow="1" w:lastRow="0" w:firstColumn="1" w:lastColumn="0" w:noHBand="0" w:noVBand="1"/>
      </w:tblPr>
      <w:tblGrid>
        <w:gridCol w:w="3076"/>
        <w:gridCol w:w="2686"/>
        <w:gridCol w:w="3589"/>
      </w:tblGrid>
      <w:tr w:rsidR="00352F37" w:rsidRPr="00104424" w14:paraId="6E4E30FB" w14:textId="77777777" w:rsidTr="007667A1">
        <w:trPr>
          <w:trHeight w:val="514"/>
        </w:trPr>
        <w:tc>
          <w:tcPr>
            <w:tcW w:w="1645" w:type="pct"/>
            <w:tcBorders>
              <w:top w:val="single" w:sz="4" w:space="0" w:color="000000"/>
              <w:left w:val="single" w:sz="4" w:space="0" w:color="000000"/>
              <w:bottom w:val="single" w:sz="4" w:space="0" w:color="000000"/>
              <w:right w:val="single" w:sz="4" w:space="0" w:color="000000"/>
            </w:tcBorders>
            <w:shd w:val="clear" w:color="auto" w:fill="DADADB"/>
            <w:hideMark/>
          </w:tcPr>
          <w:p w14:paraId="6E4E30F8" w14:textId="77777777" w:rsidR="00352F37" w:rsidRPr="008F70F8" w:rsidRDefault="00352F37" w:rsidP="007667A1">
            <w:pPr>
              <w:pStyle w:val="NumberedList"/>
              <w:numPr>
                <w:ilvl w:val="0"/>
                <w:numId w:val="0"/>
              </w:numPr>
              <w:spacing w:line="256" w:lineRule="auto"/>
              <w:ind w:left="1361"/>
              <w:rPr>
                <w:rFonts w:eastAsia="Arial"/>
                <w:color w:val="000000"/>
              </w:rPr>
            </w:pPr>
            <w:r w:rsidRPr="008F70F8">
              <w:t xml:space="preserve">Attribute </w:t>
            </w:r>
          </w:p>
        </w:tc>
        <w:tc>
          <w:tcPr>
            <w:tcW w:w="1436" w:type="pct"/>
            <w:tcBorders>
              <w:top w:val="single" w:sz="4" w:space="0" w:color="000000"/>
              <w:left w:val="single" w:sz="4" w:space="0" w:color="000000"/>
              <w:bottom w:val="single" w:sz="4" w:space="0" w:color="000000"/>
              <w:right w:val="single" w:sz="4" w:space="0" w:color="000000"/>
            </w:tcBorders>
            <w:shd w:val="clear" w:color="auto" w:fill="DADADB"/>
            <w:hideMark/>
          </w:tcPr>
          <w:p w14:paraId="6E4E30F9"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1919" w:type="pct"/>
            <w:tcBorders>
              <w:top w:val="single" w:sz="4" w:space="0" w:color="000000"/>
              <w:left w:val="single" w:sz="4" w:space="0" w:color="000000"/>
              <w:bottom w:val="single" w:sz="4" w:space="0" w:color="000000"/>
              <w:right w:val="single" w:sz="4" w:space="0" w:color="000000"/>
            </w:tcBorders>
            <w:shd w:val="clear" w:color="auto" w:fill="DADADB"/>
            <w:hideMark/>
          </w:tcPr>
          <w:p w14:paraId="6E4E30FA"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00" w14:textId="77777777" w:rsidTr="007667A1">
        <w:trPr>
          <w:trHeight w:val="1186"/>
        </w:trPr>
        <w:tc>
          <w:tcPr>
            <w:tcW w:w="1645" w:type="pct"/>
            <w:tcBorders>
              <w:top w:val="single" w:sz="4" w:space="0" w:color="000000"/>
              <w:left w:val="single" w:sz="4" w:space="0" w:color="000000"/>
              <w:bottom w:val="single" w:sz="4" w:space="0" w:color="000000"/>
              <w:right w:val="single" w:sz="4" w:space="0" w:color="000000"/>
            </w:tcBorders>
            <w:hideMark/>
          </w:tcPr>
          <w:p w14:paraId="6E4E30FC" w14:textId="77777777" w:rsidR="00352F37" w:rsidRPr="00104424" w:rsidRDefault="00352F37" w:rsidP="007667A1">
            <w:pPr>
              <w:spacing w:after="21" w:line="256" w:lineRule="auto"/>
              <w:rPr>
                <w:rFonts w:eastAsia="Arial" w:cs="Times New Roman"/>
                <w:color w:val="000000"/>
              </w:rPr>
            </w:pPr>
            <w:r w:rsidRPr="00104424">
              <w:rPr>
                <w:rFonts w:cs="Times New Roman"/>
              </w:rPr>
              <w:t xml:space="preserve">Ability to hold funds </w:t>
            </w:r>
          </w:p>
          <w:p w14:paraId="6E4E30FD" w14:textId="77777777" w:rsidR="00352F37" w:rsidRPr="00104424" w:rsidRDefault="00352F37" w:rsidP="007667A1">
            <w:pPr>
              <w:spacing w:line="256" w:lineRule="auto"/>
              <w:rPr>
                <w:rFonts w:eastAsia="Arial" w:cs="Times New Roman"/>
                <w:color w:val="000000"/>
              </w:rPr>
            </w:pPr>
            <w:r w:rsidRPr="00104424">
              <w:rPr>
                <w:rFonts w:cs="Times New Roman"/>
              </w:rPr>
              <w:t xml:space="preserve">or transact large sums </w:t>
            </w:r>
          </w:p>
        </w:tc>
        <w:tc>
          <w:tcPr>
            <w:tcW w:w="1436" w:type="pct"/>
            <w:tcBorders>
              <w:top w:val="single" w:sz="4" w:space="0" w:color="000000"/>
              <w:left w:val="single" w:sz="4" w:space="0" w:color="000000"/>
              <w:bottom w:val="single" w:sz="4" w:space="0" w:color="000000"/>
              <w:right w:val="single" w:sz="4" w:space="0" w:color="000000"/>
            </w:tcBorders>
            <w:hideMark/>
          </w:tcPr>
          <w:p w14:paraId="6E4E30FE"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that does not hold a balance or can’t be withdrawn against, such as group benefits </w:t>
            </w:r>
          </w:p>
        </w:tc>
        <w:tc>
          <w:tcPr>
            <w:tcW w:w="1919" w:type="pct"/>
            <w:tcBorders>
              <w:top w:val="single" w:sz="4" w:space="0" w:color="000000"/>
              <w:left w:val="single" w:sz="4" w:space="0" w:color="000000"/>
              <w:bottom w:val="single" w:sz="4" w:space="0" w:color="000000"/>
              <w:right w:val="single" w:sz="4" w:space="0" w:color="000000"/>
            </w:tcBorders>
            <w:hideMark/>
          </w:tcPr>
          <w:p w14:paraId="6E4E30FF" w14:textId="77777777" w:rsidR="00352F37" w:rsidRPr="00104424" w:rsidRDefault="00352F37" w:rsidP="007667A1">
            <w:pPr>
              <w:spacing w:line="256" w:lineRule="auto"/>
              <w:ind w:left="1"/>
              <w:rPr>
                <w:rFonts w:eastAsia="Arial" w:cs="Times New Roman"/>
                <w:color w:val="000000"/>
              </w:rPr>
            </w:pPr>
            <w:r w:rsidRPr="00104424">
              <w:rPr>
                <w:rFonts w:cs="Times New Roman"/>
              </w:rPr>
              <w:t>Product design that allows funds to be held on behalf of the customer; high-value or unlimited-value premium payments, overpayments or large volumes of lower value premium payments</w:t>
            </w:r>
          </w:p>
        </w:tc>
      </w:tr>
      <w:tr w:rsidR="00352F37" w:rsidRPr="00104424" w14:paraId="6E4E3104" w14:textId="77777777" w:rsidTr="007667A1">
        <w:trPr>
          <w:trHeight w:val="1464"/>
        </w:trPr>
        <w:tc>
          <w:tcPr>
            <w:tcW w:w="1645" w:type="pct"/>
            <w:tcBorders>
              <w:top w:val="single" w:sz="4" w:space="0" w:color="000000"/>
              <w:left w:val="single" w:sz="4" w:space="0" w:color="000000"/>
              <w:bottom w:val="single" w:sz="4" w:space="0" w:color="000000"/>
              <w:right w:val="single" w:sz="4" w:space="0" w:color="000000"/>
            </w:tcBorders>
            <w:hideMark/>
          </w:tcPr>
          <w:p w14:paraId="6E4E3101" w14:textId="77777777" w:rsidR="00352F37" w:rsidRPr="00104424" w:rsidRDefault="00352F37" w:rsidP="007667A1">
            <w:pPr>
              <w:spacing w:line="256" w:lineRule="auto"/>
              <w:rPr>
                <w:rFonts w:eastAsia="Arial" w:cs="Times New Roman"/>
                <w:color w:val="000000"/>
              </w:rPr>
            </w:pPr>
            <w:r w:rsidRPr="00104424">
              <w:rPr>
                <w:rFonts w:cs="Times New Roman"/>
              </w:rPr>
              <w:t xml:space="preserve">Customer anonymity or third-party transactions </w:t>
            </w:r>
          </w:p>
        </w:tc>
        <w:tc>
          <w:tcPr>
            <w:tcW w:w="1436" w:type="pct"/>
            <w:tcBorders>
              <w:top w:val="single" w:sz="4" w:space="0" w:color="000000"/>
              <w:left w:val="single" w:sz="4" w:space="0" w:color="000000"/>
              <w:bottom w:val="single" w:sz="4" w:space="0" w:color="000000"/>
              <w:right w:val="single" w:sz="4" w:space="0" w:color="000000"/>
            </w:tcBorders>
            <w:hideMark/>
          </w:tcPr>
          <w:p w14:paraId="6E4E3102"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that only allows transactions from customers with identification, or where all funds flow back to customer </w:t>
            </w:r>
          </w:p>
        </w:tc>
        <w:tc>
          <w:tcPr>
            <w:tcW w:w="1919" w:type="pct"/>
            <w:tcBorders>
              <w:top w:val="single" w:sz="4" w:space="0" w:color="000000"/>
              <w:left w:val="single" w:sz="4" w:space="0" w:color="000000"/>
              <w:bottom w:val="single" w:sz="4" w:space="0" w:color="000000"/>
              <w:right w:val="single" w:sz="4" w:space="0" w:color="000000"/>
            </w:tcBorders>
            <w:hideMark/>
          </w:tcPr>
          <w:p w14:paraId="6E4E3103"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that allows deposits and payments by third parties or unknown parties or that provide for non-face-to-face transactions (for example, mobile apps if payment source unknown) </w:t>
            </w:r>
          </w:p>
        </w:tc>
      </w:tr>
      <w:tr w:rsidR="00352F37" w:rsidRPr="00104424" w14:paraId="6E4E3108" w14:textId="77777777" w:rsidTr="007667A1">
        <w:trPr>
          <w:trHeight w:val="771"/>
        </w:trPr>
        <w:tc>
          <w:tcPr>
            <w:tcW w:w="1645" w:type="pct"/>
            <w:tcBorders>
              <w:top w:val="single" w:sz="4" w:space="0" w:color="000000"/>
              <w:left w:val="single" w:sz="4" w:space="0" w:color="000000"/>
              <w:bottom w:val="single" w:sz="4" w:space="0" w:color="000000"/>
              <w:right w:val="single" w:sz="4" w:space="0" w:color="000000"/>
            </w:tcBorders>
            <w:hideMark/>
          </w:tcPr>
          <w:p w14:paraId="6E4E3105" w14:textId="77777777" w:rsidR="00352F37" w:rsidRPr="00104424" w:rsidRDefault="00352F37" w:rsidP="007667A1">
            <w:pPr>
              <w:spacing w:line="256" w:lineRule="auto"/>
              <w:rPr>
                <w:rFonts w:eastAsia="Arial" w:cs="Times New Roman"/>
                <w:color w:val="000000"/>
              </w:rPr>
            </w:pPr>
            <w:r w:rsidRPr="00104424">
              <w:rPr>
                <w:rFonts w:cs="Times New Roman"/>
              </w:rPr>
              <w:t xml:space="preserve">Liquidity </w:t>
            </w:r>
          </w:p>
        </w:tc>
        <w:tc>
          <w:tcPr>
            <w:tcW w:w="1436" w:type="pct"/>
            <w:tcBorders>
              <w:top w:val="single" w:sz="4" w:space="0" w:color="000000"/>
              <w:left w:val="single" w:sz="4" w:space="0" w:color="000000"/>
              <w:bottom w:val="single" w:sz="4" w:space="0" w:color="000000"/>
              <w:right w:val="single" w:sz="4" w:space="0" w:color="000000"/>
            </w:tcBorders>
            <w:hideMark/>
          </w:tcPr>
          <w:p w14:paraId="6E4E3106"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that includes significant fees or other penalties for early withdrawals </w:t>
            </w:r>
          </w:p>
        </w:tc>
        <w:tc>
          <w:tcPr>
            <w:tcW w:w="1919" w:type="pct"/>
            <w:tcBorders>
              <w:top w:val="single" w:sz="4" w:space="0" w:color="000000"/>
              <w:left w:val="single" w:sz="4" w:space="0" w:color="000000"/>
              <w:bottom w:val="single" w:sz="4" w:space="0" w:color="000000"/>
              <w:right w:val="single" w:sz="4" w:space="0" w:color="000000"/>
            </w:tcBorders>
            <w:hideMark/>
          </w:tcPr>
          <w:p w14:paraId="6E4E3107"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that has no (or no significant) fees or other penalties for early withdrawal </w:t>
            </w:r>
          </w:p>
        </w:tc>
      </w:tr>
      <w:tr w:rsidR="00352F37" w:rsidRPr="00104424" w14:paraId="6E4E310C" w14:textId="77777777" w:rsidTr="007667A1">
        <w:trPr>
          <w:trHeight w:val="681"/>
        </w:trPr>
        <w:tc>
          <w:tcPr>
            <w:tcW w:w="1645" w:type="pct"/>
            <w:tcBorders>
              <w:top w:val="single" w:sz="4" w:space="0" w:color="000000"/>
              <w:left w:val="single" w:sz="4" w:space="0" w:color="000000"/>
              <w:bottom w:val="single" w:sz="4" w:space="0" w:color="000000"/>
              <w:right w:val="single" w:sz="4" w:space="0" w:color="000000"/>
            </w:tcBorders>
            <w:hideMark/>
          </w:tcPr>
          <w:p w14:paraId="6E4E3109" w14:textId="77777777" w:rsidR="00352F37" w:rsidRPr="00104424" w:rsidRDefault="00352F37" w:rsidP="007667A1">
            <w:pPr>
              <w:spacing w:line="256" w:lineRule="auto"/>
              <w:rPr>
                <w:rFonts w:eastAsia="Arial" w:cs="Times New Roman"/>
                <w:color w:val="000000"/>
              </w:rPr>
            </w:pPr>
            <w:r w:rsidRPr="00104424">
              <w:rPr>
                <w:rFonts w:cs="Times New Roman"/>
              </w:rPr>
              <w:t xml:space="preserve">Time horizon </w:t>
            </w:r>
          </w:p>
        </w:tc>
        <w:tc>
          <w:tcPr>
            <w:tcW w:w="1436" w:type="pct"/>
            <w:tcBorders>
              <w:top w:val="single" w:sz="4" w:space="0" w:color="000000"/>
              <w:left w:val="single" w:sz="4" w:space="0" w:color="000000"/>
              <w:bottom w:val="single" w:sz="4" w:space="0" w:color="000000"/>
              <w:right w:val="single" w:sz="4" w:space="0" w:color="000000"/>
            </w:tcBorders>
            <w:hideMark/>
          </w:tcPr>
          <w:p w14:paraId="6E4E310A" w14:textId="77777777" w:rsidR="00352F37" w:rsidRPr="00104424" w:rsidRDefault="00352F37" w:rsidP="007667A1">
            <w:pPr>
              <w:spacing w:line="256" w:lineRule="auto"/>
              <w:ind w:left="1" w:right="10"/>
              <w:rPr>
                <w:rFonts w:eastAsia="Arial" w:cs="Times New Roman"/>
                <w:color w:val="000000"/>
              </w:rPr>
            </w:pPr>
            <w:r w:rsidRPr="00104424">
              <w:rPr>
                <w:rFonts w:cs="Times New Roman"/>
              </w:rPr>
              <w:t xml:space="preserve">Products that are typically held for a long period of </w:t>
            </w:r>
            <w:r w:rsidRPr="00104424">
              <w:rPr>
                <w:rFonts w:cs="Times New Roman"/>
              </w:rPr>
              <w:lastRenderedPageBreak/>
              <w:t xml:space="preserve">time, such as years, until retirement or death </w:t>
            </w:r>
          </w:p>
        </w:tc>
        <w:tc>
          <w:tcPr>
            <w:tcW w:w="1919" w:type="pct"/>
            <w:tcBorders>
              <w:top w:val="single" w:sz="4" w:space="0" w:color="000000"/>
              <w:left w:val="single" w:sz="4" w:space="0" w:color="000000"/>
              <w:bottom w:val="single" w:sz="4" w:space="0" w:color="000000"/>
              <w:right w:val="single" w:sz="4" w:space="0" w:color="000000"/>
            </w:tcBorders>
            <w:hideMark/>
          </w:tcPr>
          <w:p w14:paraId="6E4E310B" w14:textId="77777777" w:rsidR="00352F37" w:rsidRPr="00104424" w:rsidRDefault="00352F37" w:rsidP="007667A1">
            <w:pPr>
              <w:spacing w:line="256" w:lineRule="auto"/>
              <w:ind w:left="1"/>
              <w:rPr>
                <w:rFonts w:eastAsia="Arial" w:cs="Times New Roman"/>
                <w:color w:val="000000"/>
              </w:rPr>
            </w:pPr>
            <w:r w:rsidRPr="00104424">
              <w:rPr>
                <w:rFonts w:cs="Times New Roman"/>
              </w:rPr>
              <w:lastRenderedPageBreak/>
              <w:t xml:space="preserve">Products that are typically held for a shorter time period </w:t>
            </w:r>
          </w:p>
        </w:tc>
      </w:tr>
      <w:tr w:rsidR="00352F37" w:rsidRPr="00104424" w14:paraId="6E4E3110" w14:textId="77777777" w:rsidTr="007667A1">
        <w:trPr>
          <w:trHeight w:val="771"/>
        </w:trPr>
        <w:tc>
          <w:tcPr>
            <w:tcW w:w="1645" w:type="pct"/>
            <w:tcBorders>
              <w:top w:val="single" w:sz="4" w:space="0" w:color="000000"/>
              <w:left w:val="single" w:sz="4" w:space="0" w:color="000000"/>
              <w:bottom w:val="single" w:sz="4" w:space="0" w:color="000000"/>
              <w:right w:val="single" w:sz="4" w:space="0" w:color="000000"/>
            </w:tcBorders>
            <w:hideMark/>
          </w:tcPr>
          <w:p w14:paraId="6E4E310D" w14:textId="77777777" w:rsidR="00352F37" w:rsidRPr="00104424" w:rsidRDefault="00352F37" w:rsidP="007667A1">
            <w:pPr>
              <w:spacing w:line="256" w:lineRule="auto"/>
              <w:rPr>
                <w:rFonts w:eastAsia="Arial" w:cs="Times New Roman"/>
                <w:color w:val="000000"/>
              </w:rPr>
            </w:pPr>
            <w:r w:rsidRPr="00104424">
              <w:rPr>
                <w:rFonts w:cs="Times New Roman"/>
              </w:rPr>
              <w:lastRenderedPageBreak/>
              <w:t xml:space="preserve">Purpose and intended use of product </w:t>
            </w:r>
          </w:p>
        </w:tc>
        <w:tc>
          <w:tcPr>
            <w:tcW w:w="1436" w:type="pct"/>
            <w:tcBorders>
              <w:top w:val="single" w:sz="4" w:space="0" w:color="000000"/>
              <w:left w:val="single" w:sz="4" w:space="0" w:color="000000"/>
              <w:bottom w:val="single" w:sz="4" w:space="0" w:color="000000"/>
              <w:right w:val="single" w:sz="4" w:space="0" w:color="000000"/>
            </w:tcBorders>
            <w:hideMark/>
          </w:tcPr>
          <w:p w14:paraId="6E4E310E"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makes it easy to identify if products are not being used as intended </w:t>
            </w:r>
          </w:p>
        </w:tc>
        <w:tc>
          <w:tcPr>
            <w:tcW w:w="1919" w:type="pct"/>
            <w:tcBorders>
              <w:top w:val="single" w:sz="4" w:space="0" w:color="000000"/>
              <w:left w:val="single" w:sz="4" w:space="0" w:color="000000"/>
              <w:bottom w:val="single" w:sz="4" w:space="0" w:color="000000"/>
              <w:right w:val="single" w:sz="4" w:space="0" w:color="000000"/>
            </w:tcBorders>
            <w:hideMark/>
          </w:tcPr>
          <w:p w14:paraId="6E4E310F"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 design makes it difficult to identify if products are not being used as intended </w:t>
            </w:r>
          </w:p>
        </w:tc>
      </w:tr>
    </w:tbl>
    <w:p w14:paraId="6E4E3111" w14:textId="77777777" w:rsidR="00352F37" w:rsidRDefault="00352F37" w:rsidP="00352F37">
      <w:pPr>
        <w:pStyle w:val="Para"/>
      </w:pPr>
      <w:r>
        <w:t>The following product features tend to increase the risk profile of a product:</w:t>
      </w:r>
    </w:p>
    <w:p w14:paraId="6E4E3112" w14:textId="77777777" w:rsidR="00352F37" w:rsidRDefault="00352F37" w:rsidP="00352F37">
      <w:pPr>
        <w:pStyle w:val="BulletedList"/>
        <w:numPr>
          <w:ilvl w:val="0"/>
          <w:numId w:val="23"/>
        </w:numPr>
      </w:pPr>
      <w:r>
        <w:t>Flexibility of payments, for example the product allows payments from unidentified third parties or high-value or unlimited-value premium payments, overpayments or large volumes of lower value premium payments or cash payments;</w:t>
      </w:r>
    </w:p>
    <w:p w14:paraId="6E4E3113" w14:textId="77777777" w:rsidR="00352F37" w:rsidRDefault="00352F37" w:rsidP="00352F37">
      <w:pPr>
        <w:pStyle w:val="BulletedList"/>
        <w:numPr>
          <w:ilvl w:val="0"/>
          <w:numId w:val="23"/>
        </w:numPr>
      </w:pPr>
      <w:r>
        <w:t>Ease of access to accumulated funds, for example the product allows partial withdrawals or early surrender at any time, with limited charges or fees;</w:t>
      </w:r>
    </w:p>
    <w:p w14:paraId="6E4E3114" w14:textId="77777777" w:rsidR="00352F37" w:rsidRDefault="00352F37" w:rsidP="00352F37">
      <w:pPr>
        <w:pStyle w:val="BulletedList"/>
        <w:numPr>
          <w:ilvl w:val="0"/>
          <w:numId w:val="23"/>
        </w:numPr>
      </w:pPr>
      <w:r>
        <w:t>Negotiability, for example the product can be traded on a secondary market or used as collateral for a loan; and</w:t>
      </w:r>
    </w:p>
    <w:p w14:paraId="6E4E3115" w14:textId="77777777" w:rsidR="00352F37" w:rsidRDefault="00352F37" w:rsidP="00352F37">
      <w:pPr>
        <w:pStyle w:val="BulletedList"/>
        <w:numPr>
          <w:ilvl w:val="0"/>
          <w:numId w:val="23"/>
        </w:numPr>
        <w:spacing w:before="120"/>
      </w:pPr>
      <w:r>
        <w:t>Anonymity, for example the product facilitates or allows the anonymity of the customer.</w:t>
      </w:r>
    </w:p>
    <w:p w14:paraId="6E4E3116" w14:textId="49E47743" w:rsidR="00352F37" w:rsidRDefault="00352F37" w:rsidP="00352F37">
      <w:pPr>
        <w:pStyle w:val="Para"/>
      </w:pPr>
      <w:r>
        <w:t xml:space="preserve">The following product features </w:t>
      </w:r>
      <w:r w:rsidR="00207A1F">
        <w:t xml:space="preserve">tend to decrease the </w:t>
      </w:r>
      <w:r>
        <w:t>risk</w:t>
      </w:r>
      <w:r w:rsidR="00207A1F">
        <w:t xml:space="preserve"> profile of a product</w:t>
      </w:r>
      <w:r>
        <w:t>:</w:t>
      </w:r>
    </w:p>
    <w:p w14:paraId="6E4E3117" w14:textId="77777777" w:rsidR="00352F37" w:rsidRDefault="00352F37" w:rsidP="00352F37">
      <w:pPr>
        <w:pStyle w:val="BulletedList"/>
        <w:numPr>
          <w:ilvl w:val="0"/>
          <w:numId w:val="23"/>
        </w:numPr>
      </w:pPr>
      <w:r>
        <w:t>Product only pays out against a pre-defined event, for example death, or on a specific date, such as in the case of credit life insurance policies covering consumer and mortgage loans and paying out only on death of the insured person;</w:t>
      </w:r>
    </w:p>
    <w:p w14:paraId="6E4E3118" w14:textId="77777777" w:rsidR="00352F37" w:rsidRDefault="00352F37" w:rsidP="00352F37">
      <w:pPr>
        <w:pStyle w:val="BulletedList"/>
        <w:numPr>
          <w:ilvl w:val="0"/>
          <w:numId w:val="23"/>
        </w:numPr>
      </w:pPr>
      <w:r>
        <w:t>No surrender value;</w:t>
      </w:r>
    </w:p>
    <w:p w14:paraId="6E4E3119" w14:textId="77777777" w:rsidR="00352F37" w:rsidRDefault="00352F37" w:rsidP="00352F37">
      <w:pPr>
        <w:pStyle w:val="BulletedList"/>
        <w:numPr>
          <w:ilvl w:val="0"/>
          <w:numId w:val="23"/>
        </w:numPr>
      </w:pPr>
      <w:r>
        <w:t>No investment element;</w:t>
      </w:r>
    </w:p>
    <w:p w14:paraId="6E4E311A" w14:textId="77777777" w:rsidR="00352F37" w:rsidRDefault="00352F37" w:rsidP="00352F37">
      <w:pPr>
        <w:pStyle w:val="BulletedList"/>
        <w:numPr>
          <w:ilvl w:val="0"/>
          <w:numId w:val="23"/>
        </w:numPr>
      </w:pPr>
      <w:r>
        <w:t>No third party payment facility;</w:t>
      </w:r>
    </w:p>
    <w:p w14:paraId="6E4E311B" w14:textId="77777777" w:rsidR="00352F37" w:rsidRDefault="00352F37" w:rsidP="00352F37">
      <w:pPr>
        <w:pStyle w:val="BulletedList"/>
        <w:numPr>
          <w:ilvl w:val="0"/>
          <w:numId w:val="23"/>
        </w:numPr>
      </w:pPr>
      <w:r>
        <w:t>Total investment is curtailed at a low value;</w:t>
      </w:r>
    </w:p>
    <w:p w14:paraId="6E4E311C" w14:textId="77777777" w:rsidR="00352F37" w:rsidRDefault="00352F37" w:rsidP="00352F37">
      <w:pPr>
        <w:pStyle w:val="BulletedList"/>
        <w:numPr>
          <w:ilvl w:val="0"/>
          <w:numId w:val="23"/>
        </w:numPr>
      </w:pPr>
      <w:r>
        <w:t>Life insurance policy where the premium is low;</w:t>
      </w:r>
    </w:p>
    <w:p w14:paraId="6E4E311D" w14:textId="77777777" w:rsidR="00352F37" w:rsidRDefault="00352F37" w:rsidP="00352F37">
      <w:pPr>
        <w:pStyle w:val="BulletedList"/>
        <w:numPr>
          <w:ilvl w:val="0"/>
          <w:numId w:val="23"/>
        </w:numPr>
      </w:pPr>
      <w:r>
        <w:t>Accessibility only through employers, for example a pension, superannuation or similar scheme that provides retirement benefits to employees, where contributions are made by way of deduction from wages and the scheme rules do not permit the assignment of a member’s interest under the scheme;</w:t>
      </w:r>
    </w:p>
    <w:p w14:paraId="6E4E311E" w14:textId="77777777" w:rsidR="00352F37" w:rsidRDefault="00352F37" w:rsidP="00352F37">
      <w:pPr>
        <w:pStyle w:val="BulletedList"/>
        <w:numPr>
          <w:ilvl w:val="0"/>
          <w:numId w:val="23"/>
        </w:numPr>
      </w:pPr>
      <w:r>
        <w:t>Product cannot be redeemed in the short or medium term, as in the case of pension schemes without an early surrender option; and</w:t>
      </w:r>
    </w:p>
    <w:p w14:paraId="6E4E311F" w14:textId="77777777" w:rsidR="00352F37" w:rsidRDefault="00352F37" w:rsidP="00352F37">
      <w:pPr>
        <w:pStyle w:val="BulletedList"/>
        <w:numPr>
          <w:ilvl w:val="0"/>
          <w:numId w:val="23"/>
        </w:numPr>
      </w:pPr>
      <w:r>
        <w:t>No cash payments.</w:t>
      </w:r>
    </w:p>
    <w:p w14:paraId="6E4E3120" w14:textId="77777777" w:rsidR="00352F37" w:rsidRPr="008167FB" w:rsidRDefault="00352F37" w:rsidP="00352F37">
      <w:pPr>
        <w:pStyle w:val="Para0"/>
        <w:rPr>
          <w:b/>
          <w:i/>
        </w:rPr>
      </w:pPr>
      <w:r w:rsidRPr="008167FB">
        <w:rPr>
          <w:b/>
          <w:i/>
        </w:rPr>
        <w:t xml:space="preserve">Service and transaction risk factors </w:t>
      </w:r>
    </w:p>
    <w:p w14:paraId="6E4E3121" w14:textId="77777777" w:rsidR="00352F37" w:rsidRDefault="00352F37" w:rsidP="00352F37">
      <w:pPr>
        <w:pStyle w:val="Para"/>
      </w:pPr>
      <w:r>
        <w:t xml:space="preserve">Service and transaction risk can be assessed by identifying how vulnerable a product is to use by a third party or unintended use based on the methods of transaction available. Service and transaction risk is influenced by product design. Understanding potential service and transaction risks in the business is a significant factor in recognizing unusual activity at a customer level. </w:t>
      </w:r>
    </w:p>
    <w:p w14:paraId="6E4E3122" w14:textId="77777777" w:rsidR="00352F37" w:rsidRDefault="00352F37" w:rsidP="00352F37">
      <w:pPr>
        <w:pStyle w:val="Para"/>
      </w:pPr>
      <w:r>
        <w:t xml:space="preserve">Service and transaction risk is considered higher when the features or services of a product make it possible for customers to use the product in a way that isn’t consistent </w:t>
      </w:r>
      <w:r>
        <w:lastRenderedPageBreak/>
        <w:t xml:space="preserve">with the purpose of the product. For example, an insurance policy with investment funds may be intended as a long-term investment, but could be vulnerable to frequent transactions because it allows for low fee transactions and there may be no disincentive to withdrawing money at any time. </w:t>
      </w:r>
    </w:p>
    <w:p w14:paraId="6E4E3123" w14:textId="77777777" w:rsidR="00352F37" w:rsidRDefault="00352F37" w:rsidP="00352F37">
      <w:pPr>
        <w:pStyle w:val="Para"/>
      </w:pPr>
      <w:r>
        <w:t xml:space="preserve">The following tables describe attributes used to assess service and transaction risk and provide lower and higher risk examples. </w:t>
      </w:r>
    </w:p>
    <w:tbl>
      <w:tblPr>
        <w:tblStyle w:val="TableGrid0"/>
        <w:tblW w:w="0" w:type="auto"/>
        <w:tblInd w:w="-42" w:type="dxa"/>
        <w:tblCellMar>
          <w:top w:w="29" w:type="dxa"/>
          <w:left w:w="42" w:type="dxa"/>
          <w:right w:w="9" w:type="dxa"/>
        </w:tblCellMar>
        <w:tblLook w:val="04A0" w:firstRow="1" w:lastRow="0" w:firstColumn="1" w:lastColumn="0" w:noHBand="0" w:noVBand="1"/>
      </w:tblPr>
      <w:tblGrid>
        <w:gridCol w:w="3269"/>
        <w:gridCol w:w="2275"/>
        <w:gridCol w:w="3848"/>
      </w:tblGrid>
      <w:tr w:rsidR="00352F37" w:rsidRPr="00104424" w14:paraId="6E4E3127"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24" w14:textId="77777777" w:rsidR="00352F37" w:rsidRPr="008167FB" w:rsidRDefault="00352F37" w:rsidP="007667A1">
            <w:pPr>
              <w:pStyle w:val="NumberedList"/>
              <w:numPr>
                <w:ilvl w:val="0"/>
                <w:numId w:val="0"/>
              </w:numPr>
              <w:spacing w:line="256" w:lineRule="auto"/>
              <w:ind w:left="1361"/>
              <w:rPr>
                <w:rFonts w:eastAsia="Arial"/>
                <w:color w:val="000000"/>
              </w:rPr>
            </w:pPr>
            <w:r w:rsidRPr="008167FB">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25"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26"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2D" w14:textId="77777777" w:rsidTr="007667A1">
        <w:trPr>
          <w:trHeight w:val="1820"/>
        </w:trPr>
        <w:tc>
          <w:tcPr>
            <w:tcW w:w="0" w:type="auto"/>
            <w:tcBorders>
              <w:top w:val="single" w:sz="4" w:space="0" w:color="000000"/>
              <w:left w:val="single" w:sz="4" w:space="0" w:color="000000"/>
              <w:bottom w:val="single" w:sz="4" w:space="0" w:color="000000"/>
              <w:right w:val="single" w:sz="4" w:space="0" w:color="000000"/>
            </w:tcBorders>
            <w:hideMark/>
          </w:tcPr>
          <w:p w14:paraId="6E4E3128" w14:textId="77777777" w:rsidR="00352F37" w:rsidRPr="00104424" w:rsidRDefault="00352F37" w:rsidP="007667A1">
            <w:pPr>
              <w:spacing w:line="256" w:lineRule="auto"/>
              <w:rPr>
                <w:rFonts w:eastAsia="Arial" w:cs="Times New Roman"/>
                <w:color w:val="000000"/>
              </w:rPr>
            </w:pPr>
            <w:r w:rsidRPr="00104424">
              <w:rPr>
                <w:rFonts w:cs="Times New Roman"/>
              </w:rPr>
              <w:t xml:space="preserve">Difficulty to trace ownership of funds </w:t>
            </w:r>
          </w:p>
        </w:tc>
        <w:tc>
          <w:tcPr>
            <w:tcW w:w="0" w:type="auto"/>
            <w:tcBorders>
              <w:top w:val="single" w:sz="4" w:space="0" w:color="000000"/>
              <w:left w:val="single" w:sz="4" w:space="0" w:color="000000"/>
              <w:bottom w:val="single" w:sz="4" w:space="0" w:color="000000"/>
              <w:right w:val="single" w:sz="4" w:space="0" w:color="000000"/>
            </w:tcBorders>
            <w:hideMark/>
          </w:tcPr>
          <w:p w14:paraId="6E4E3129" w14:textId="77777777" w:rsidR="00352F37" w:rsidRPr="00104424" w:rsidRDefault="00352F37" w:rsidP="007667A1">
            <w:pPr>
              <w:spacing w:line="256" w:lineRule="auto"/>
              <w:ind w:left="1"/>
              <w:rPr>
                <w:rFonts w:eastAsia="Arial" w:cs="Times New Roman"/>
                <w:color w:val="000000"/>
              </w:rPr>
            </w:pPr>
            <w:proofErr w:type="spellStart"/>
            <w:r w:rsidRPr="00104424">
              <w:rPr>
                <w:rFonts w:cs="Times New Roman"/>
              </w:rPr>
              <w:t>Preprinted</w:t>
            </w:r>
            <w:proofErr w:type="spellEnd"/>
            <w:r w:rsidRPr="00104424">
              <w:rPr>
                <w:rFonts w:cs="Times New Roman"/>
              </w:rPr>
              <w:t xml:space="preserve"> cheques, bill payments, EFT payments with verified banking records </w:t>
            </w:r>
          </w:p>
        </w:tc>
        <w:tc>
          <w:tcPr>
            <w:tcW w:w="0" w:type="auto"/>
            <w:tcBorders>
              <w:top w:val="single" w:sz="4" w:space="0" w:color="000000"/>
              <w:left w:val="single" w:sz="4" w:space="0" w:color="000000"/>
              <w:bottom w:val="single" w:sz="4" w:space="0" w:color="000000"/>
              <w:right w:val="single" w:sz="4" w:space="0" w:color="000000"/>
            </w:tcBorders>
          </w:tcPr>
          <w:p w14:paraId="6E4E312A" w14:textId="77777777" w:rsidR="00352F37" w:rsidRPr="00104424" w:rsidRDefault="00352F37" w:rsidP="007667A1">
            <w:pPr>
              <w:spacing w:line="256" w:lineRule="auto"/>
              <w:ind w:left="1"/>
              <w:rPr>
                <w:rFonts w:eastAsia="Arial" w:cs="Times New Roman"/>
                <w:color w:val="000000"/>
              </w:rPr>
            </w:pPr>
            <w:r w:rsidRPr="00104424">
              <w:rPr>
                <w:rFonts w:cs="Times New Roman"/>
              </w:rPr>
              <w:t>Cash, bank drafts in bearer form, travel</w:t>
            </w:r>
            <w:r>
              <w:rPr>
                <w:rFonts w:cs="Times New Roman"/>
              </w:rPr>
              <w:t>l</w:t>
            </w:r>
            <w:r w:rsidRPr="00104424">
              <w:rPr>
                <w:rFonts w:cs="Times New Roman"/>
              </w:rPr>
              <w:t xml:space="preserve">ers cheques, and counter cheques (where the ownership information is handwritten or typed in a different font than the rest of the cheque) </w:t>
            </w:r>
          </w:p>
          <w:p w14:paraId="6E4E312B" w14:textId="77777777" w:rsidR="00352F37" w:rsidRPr="00104424" w:rsidRDefault="00352F37" w:rsidP="007667A1">
            <w:pPr>
              <w:spacing w:line="256" w:lineRule="auto"/>
              <w:ind w:left="1"/>
              <w:rPr>
                <w:rFonts w:cs="Times New Roman"/>
              </w:rPr>
            </w:pPr>
          </w:p>
          <w:p w14:paraId="6E4E312C" w14:textId="77777777" w:rsidR="00352F37" w:rsidRPr="00104424" w:rsidRDefault="00352F37" w:rsidP="007667A1">
            <w:pPr>
              <w:spacing w:line="256" w:lineRule="auto"/>
              <w:ind w:left="1"/>
              <w:rPr>
                <w:rFonts w:eastAsia="Arial" w:cs="Times New Roman"/>
                <w:color w:val="000000"/>
              </w:rPr>
            </w:pPr>
            <w:r w:rsidRPr="00104424">
              <w:rPr>
                <w:rFonts w:cs="Times New Roman"/>
              </w:rPr>
              <w:t>Potentially: Some Digital Currencies</w:t>
            </w:r>
          </w:p>
        </w:tc>
      </w:tr>
      <w:tr w:rsidR="00352F37" w:rsidRPr="00104424" w14:paraId="6E4E3131"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2E" w14:textId="77777777" w:rsidR="00352F37" w:rsidRPr="00104424" w:rsidRDefault="00352F37" w:rsidP="007667A1">
            <w:pPr>
              <w:spacing w:line="256" w:lineRule="auto"/>
              <w:ind w:right="294"/>
              <w:rPr>
                <w:rFonts w:eastAsia="Arial" w:cs="Times New Roman"/>
                <w:color w:val="000000"/>
              </w:rPr>
            </w:pPr>
            <w:r w:rsidRPr="00104424">
              <w:rPr>
                <w:rFonts w:cs="Times New Roman"/>
              </w:rPr>
              <w:t>Customer is not the pay</w:t>
            </w:r>
            <w:r>
              <w:rPr>
                <w:rFonts w:cs="Times New Roman"/>
              </w:rPr>
              <w:t>e</w:t>
            </w:r>
            <w:r w:rsidRPr="00104424">
              <w:rPr>
                <w:rFonts w:cs="Times New Roman"/>
              </w:rPr>
              <w:t xml:space="preserve">r or recipient of the funds </w:t>
            </w:r>
          </w:p>
        </w:tc>
        <w:tc>
          <w:tcPr>
            <w:tcW w:w="0" w:type="auto"/>
            <w:tcBorders>
              <w:top w:val="single" w:sz="4" w:space="0" w:color="000000"/>
              <w:left w:val="single" w:sz="4" w:space="0" w:color="000000"/>
              <w:bottom w:val="single" w:sz="4" w:space="0" w:color="000000"/>
              <w:right w:val="single" w:sz="4" w:space="0" w:color="000000"/>
            </w:tcBorders>
            <w:hideMark/>
          </w:tcPr>
          <w:p w14:paraId="6E4E312F"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The funds are moved from or to another financial institution </w:t>
            </w:r>
          </w:p>
        </w:tc>
        <w:tc>
          <w:tcPr>
            <w:tcW w:w="0" w:type="auto"/>
            <w:tcBorders>
              <w:top w:val="single" w:sz="4" w:space="0" w:color="000000"/>
              <w:left w:val="single" w:sz="4" w:space="0" w:color="000000"/>
              <w:bottom w:val="single" w:sz="4" w:space="0" w:color="000000"/>
              <w:right w:val="single" w:sz="4" w:space="0" w:color="000000"/>
            </w:tcBorders>
            <w:hideMark/>
          </w:tcPr>
          <w:p w14:paraId="6E4E3130"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The third party paying or receiving funds has not previously been disclosed </w:t>
            </w:r>
          </w:p>
        </w:tc>
      </w:tr>
      <w:tr w:rsidR="00352F37" w:rsidRPr="00104424" w14:paraId="6E4E3136" w14:textId="77777777" w:rsidTr="007667A1">
        <w:trPr>
          <w:trHeight w:val="1606"/>
        </w:trPr>
        <w:tc>
          <w:tcPr>
            <w:tcW w:w="0" w:type="auto"/>
            <w:tcBorders>
              <w:top w:val="single" w:sz="4" w:space="0" w:color="000000"/>
              <w:left w:val="single" w:sz="4" w:space="0" w:color="000000"/>
              <w:bottom w:val="single" w:sz="4" w:space="0" w:color="000000"/>
              <w:right w:val="single" w:sz="4" w:space="0" w:color="000000"/>
            </w:tcBorders>
            <w:hideMark/>
          </w:tcPr>
          <w:p w14:paraId="6E4E3132" w14:textId="77777777" w:rsidR="00352F37" w:rsidRPr="00104424" w:rsidRDefault="00352F37" w:rsidP="007667A1">
            <w:pPr>
              <w:spacing w:line="256" w:lineRule="auto"/>
              <w:rPr>
                <w:rFonts w:eastAsia="Arial" w:cs="Times New Roman"/>
                <w:color w:val="000000"/>
              </w:rPr>
            </w:pPr>
            <w:r w:rsidRPr="00104424">
              <w:rPr>
                <w:rFonts w:cs="Times New Roman"/>
              </w:rPr>
              <w:t>Payment source or recipient is based outside of country</w:t>
            </w:r>
          </w:p>
        </w:tc>
        <w:tc>
          <w:tcPr>
            <w:tcW w:w="0" w:type="auto"/>
            <w:tcBorders>
              <w:top w:val="single" w:sz="4" w:space="0" w:color="000000"/>
              <w:left w:val="single" w:sz="4" w:space="0" w:color="000000"/>
              <w:bottom w:val="single" w:sz="4" w:space="0" w:color="000000"/>
              <w:right w:val="single" w:sz="4" w:space="0" w:color="000000"/>
            </w:tcBorders>
            <w:hideMark/>
          </w:tcPr>
          <w:p w14:paraId="6E4E3133" w14:textId="77777777" w:rsidR="00352F37" w:rsidRPr="00104424" w:rsidRDefault="00352F37" w:rsidP="007667A1">
            <w:pPr>
              <w:spacing w:line="256" w:lineRule="auto"/>
              <w:ind w:left="1"/>
              <w:rPr>
                <w:rFonts w:eastAsia="Arial" w:cs="Times New Roman"/>
                <w:color w:val="000000"/>
              </w:rPr>
            </w:pPr>
            <w:r w:rsidRPr="00104424">
              <w:rPr>
                <w:rFonts w:cs="Times New Roman"/>
              </w:rPr>
              <w:t>The recipient or pay</w:t>
            </w:r>
            <w:r>
              <w:rPr>
                <w:rFonts w:cs="Times New Roman"/>
              </w:rPr>
              <w:t>e</w:t>
            </w:r>
            <w:r w:rsidRPr="00104424">
              <w:rPr>
                <w:rFonts w:cs="Times New Roman"/>
              </w:rPr>
              <w:t xml:space="preserve">r is the owner and is in a low risk country </w:t>
            </w:r>
          </w:p>
        </w:tc>
        <w:tc>
          <w:tcPr>
            <w:tcW w:w="0" w:type="auto"/>
            <w:tcBorders>
              <w:top w:val="single" w:sz="4" w:space="0" w:color="000000"/>
              <w:left w:val="single" w:sz="4" w:space="0" w:color="000000"/>
              <w:bottom w:val="single" w:sz="4" w:space="0" w:color="000000"/>
              <w:right w:val="single" w:sz="4" w:space="0" w:color="000000"/>
            </w:tcBorders>
            <w:hideMark/>
          </w:tcPr>
          <w:p w14:paraId="6E4E3134" w14:textId="77777777" w:rsidR="00352F37" w:rsidRPr="00104424" w:rsidRDefault="00352F37" w:rsidP="007667A1">
            <w:pPr>
              <w:spacing w:after="122" w:line="276" w:lineRule="auto"/>
              <w:ind w:left="1"/>
              <w:rPr>
                <w:rFonts w:eastAsia="Arial" w:cs="Times New Roman"/>
                <w:color w:val="000000"/>
              </w:rPr>
            </w:pPr>
            <w:r w:rsidRPr="00104424">
              <w:rPr>
                <w:rFonts w:cs="Times New Roman"/>
              </w:rPr>
              <w:t>The recipient or pay</w:t>
            </w:r>
            <w:r>
              <w:rPr>
                <w:rFonts w:cs="Times New Roman"/>
              </w:rPr>
              <w:t>e</w:t>
            </w:r>
            <w:r w:rsidRPr="00104424">
              <w:rPr>
                <w:rFonts w:cs="Times New Roman"/>
              </w:rPr>
              <w:t xml:space="preserve">r is the owner and is in a higher risk country </w:t>
            </w:r>
          </w:p>
          <w:p w14:paraId="6E4E3135" w14:textId="77777777" w:rsidR="00352F37" w:rsidRPr="00104424" w:rsidRDefault="00352F37" w:rsidP="007667A1">
            <w:pPr>
              <w:spacing w:line="256" w:lineRule="auto"/>
              <w:ind w:left="1"/>
              <w:rPr>
                <w:rFonts w:eastAsia="Arial" w:cs="Times New Roman"/>
                <w:color w:val="000000"/>
              </w:rPr>
            </w:pPr>
            <w:r w:rsidRPr="00104424">
              <w:rPr>
                <w:rFonts w:cs="Times New Roman"/>
              </w:rPr>
              <w:t>The recipient or pay</w:t>
            </w:r>
            <w:r>
              <w:rPr>
                <w:rFonts w:cs="Times New Roman"/>
              </w:rPr>
              <w:t>e</w:t>
            </w:r>
            <w:r w:rsidRPr="00104424">
              <w:rPr>
                <w:rFonts w:cs="Times New Roman"/>
              </w:rPr>
              <w:t>r is a third party outside of country (More difficult to trace or confirm source of funds)</w:t>
            </w:r>
          </w:p>
        </w:tc>
      </w:tr>
      <w:tr w:rsidR="00352F37" w:rsidRPr="00104424" w14:paraId="6E4E313A"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37" w14:textId="77777777" w:rsidR="00352F37" w:rsidRPr="00104424" w:rsidRDefault="00352F37" w:rsidP="007667A1">
            <w:pPr>
              <w:spacing w:line="256" w:lineRule="auto"/>
              <w:rPr>
                <w:rFonts w:eastAsia="Arial" w:cs="Times New Roman"/>
                <w:color w:val="000000"/>
              </w:rPr>
            </w:pPr>
            <w:r w:rsidRPr="00104424">
              <w:rPr>
                <w:rFonts w:cs="Times New Roman"/>
              </w:rPr>
              <w:t xml:space="preserve">Number of transactions </w:t>
            </w:r>
          </w:p>
        </w:tc>
        <w:tc>
          <w:tcPr>
            <w:tcW w:w="0" w:type="auto"/>
            <w:tcBorders>
              <w:top w:val="single" w:sz="4" w:space="0" w:color="000000"/>
              <w:left w:val="single" w:sz="4" w:space="0" w:color="000000"/>
              <w:bottom w:val="single" w:sz="4" w:space="0" w:color="000000"/>
              <w:right w:val="single" w:sz="4" w:space="0" w:color="000000"/>
            </w:tcBorders>
            <w:hideMark/>
          </w:tcPr>
          <w:p w14:paraId="6E4E3138"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 number of transactions or transaction frequency that is typical for the product. </w:t>
            </w:r>
          </w:p>
        </w:tc>
        <w:tc>
          <w:tcPr>
            <w:tcW w:w="0" w:type="auto"/>
            <w:tcBorders>
              <w:top w:val="single" w:sz="4" w:space="0" w:color="000000"/>
              <w:left w:val="single" w:sz="4" w:space="0" w:color="000000"/>
              <w:bottom w:val="single" w:sz="4" w:space="0" w:color="000000"/>
              <w:right w:val="single" w:sz="4" w:space="0" w:color="000000"/>
            </w:tcBorders>
            <w:hideMark/>
          </w:tcPr>
          <w:p w14:paraId="6E4E3139" w14:textId="77777777" w:rsidR="00352F37" w:rsidRPr="00104424" w:rsidRDefault="00352F37" w:rsidP="007667A1">
            <w:pPr>
              <w:spacing w:line="256" w:lineRule="auto"/>
              <w:ind w:left="1" w:right="25"/>
              <w:rPr>
                <w:rFonts w:eastAsia="Arial" w:cs="Times New Roman"/>
                <w:color w:val="000000"/>
              </w:rPr>
            </w:pPr>
            <w:r w:rsidRPr="00104424">
              <w:rPr>
                <w:rFonts w:cs="Times New Roman"/>
              </w:rPr>
              <w:t xml:space="preserve">Large number of transactions back and forth with the customer or third parties is normal for the product design </w:t>
            </w:r>
          </w:p>
        </w:tc>
      </w:tr>
      <w:tr w:rsidR="00352F37" w:rsidRPr="00104424" w14:paraId="6E4E313E" w14:textId="77777777" w:rsidTr="007667A1">
        <w:trPr>
          <w:trHeight w:val="1486"/>
        </w:trPr>
        <w:tc>
          <w:tcPr>
            <w:tcW w:w="0" w:type="auto"/>
            <w:tcBorders>
              <w:top w:val="single" w:sz="4" w:space="0" w:color="000000"/>
              <w:left w:val="single" w:sz="4" w:space="0" w:color="000000"/>
              <w:bottom w:val="single" w:sz="4" w:space="0" w:color="000000"/>
              <w:right w:val="single" w:sz="4" w:space="0" w:color="000000"/>
            </w:tcBorders>
            <w:hideMark/>
          </w:tcPr>
          <w:p w14:paraId="6E4E313B" w14:textId="77777777" w:rsidR="00352F37" w:rsidRPr="00104424" w:rsidRDefault="00352F37" w:rsidP="007667A1">
            <w:pPr>
              <w:spacing w:line="256" w:lineRule="auto"/>
              <w:rPr>
                <w:rFonts w:eastAsia="Arial" w:cs="Times New Roman"/>
                <w:color w:val="000000"/>
              </w:rPr>
            </w:pPr>
            <w:r w:rsidRPr="00104424">
              <w:rPr>
                <w:rFonts w:cs="Times New Roman"/>
              </w:rPr>
              <w:t xml:space="preserve">Transactional patterns </w:t>
            </w:r>
          </w:p>
        </w:tc>
        <w:tc>
          <w:tcPr>
            <w:tcW w:w="0" w:type="auto"/>
            <w:tcBorders>
              <w:top w:val="single" w:sz="4" w:space="0" w:color="000000"/>
              <w:left w:val="single" w:sz="4" w:space="0" w:color="000000"/>
              <w:bottom w:val="single" w:sz="4" w:space="0" w:color="000000"/>
              <w:right w:val="single" w:sz="4" w:space="0" w:color="000000"/>
            </w:tcBorders>
            <w:hideMark/>
          </w:tcPr>
          <w:p w14:paraId="6E4E313C"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Regular and expected customer account activity. </w:t>
            </w:r>
          </w:p>
        </w:tc>
        <w:tc>
          <w:tcPr>
            <w:tcW w:w="0" w:type="auto"/>
            <w:tcBorders>
              <w:top w:val="single" w:sz="4" w:space="0" w:color="000000"/>
              <w:left w:val="single" w:sz="4" w:space="0" w:color="000000"/>
              <w:bottom w:val="single" w:sz="4" w:space="0" w:color="000000"/>
              <w:right w:val="single" w:sz="4" w:space="0" w:color="000000"/>
            </w:tcBorders>
            <w:hideMark/>
          </w:tcPr>
          <w:p w14:paraId="6E4E313D"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Significant, unexpected and unexplained change in the customer’s typical activity, such as early surrenders or withdrawals is a service offered. </w:t>
            </w:r>
          </w:p>
        </w:tc>
      </w:tr>
    </w:tbl>
    <w:p w14:paraId="6E4E313F" w14:textId="77777777" w:rsidR="00352F37" w:rsidRPr="008167FB" w:rsidRDefault="00352F37" w:rsidP="00352F37">
      <w:pPr>
        <w:pStyle w:val="Para0"/>
        <w:rPr>
          <w:b/>
          <w:i/>
        </w:rPr>
      </w:pPr>
      <w:r w:rsidRPr="008167FB">
        <w:rPr>
          <w:b/>
          <w:i/>
        </w:rPr>
        <w:t xml:space="preserve">Distribution / intermediary channel risk factors </w:t>
      </w:r>
    </w:p>
    <w:p w14:paraId="6E4E3140" w14:textId="77777777" w:rsidR="00352F37" w:rsidRDefault="00352F37" w:rsidP="00352F37">
      <w:pPr>
        <w:pStyle w:val="Para"/>
      </w:pPr>
      <w:r>
        <w:t xml:space="preserve">The distribution channel is the method a customer uses to open a new policy or account. The distribution channel risk is identified by assessing how vulnerable the channel is to money laundering or terrorist financing activities based on attributes that may make it easier to obscure customer identity. </w:t>
      </w:r>
    </w:p>
    <w:p w14:paraId="6E4E3141" w14:textId="5CC028C5" w:rsidR="00352F37" w:rsidRDefault="00352F37" w:rsidP="00352F37">
      <w:pPr>
        <w:pStyle w:val="Para"/>
      </w:pPr>
      <w:r>
        <w:t xml:space="preserve">The risk of failing to correctly identify a customer </w:t>
      </w:r>
      <w:r w:rsidR="00207A1F">
        <w:t xml:space="preserve">may be </w:t>
      </w:r>
      <w:r>
        <w:t xml:space="preserve">higher for distribution channels that use an intermediary, or do not require face-to-face contact. Depending on product, distribution channel risk is mitigated using distributors who are also subject to AML/CTF legislation, which requires a compliance programme to be in place. </w:t>
      </w:r>
    </w:p>
    <w:p w14:paraId="6E4E3142" w14:textId="77777777" w:rsidR="00352F37" w:rsidRDefault="00352F37" w:rsidP="00352F37">
      <w:pPr>
        <w:pStyle w:val="Para"/>
      </w:pPr>
      <w:r>
        <w:lastRenderedPageBreak/>
        <w:t xml:space="preserve">The following table describes attributes used to assess the vulnerability of a distribution channel and provides lower and higher risk examples. </w:t>
      </w:r>
    </w:p>
    <w:tbl>
      <w:tblPr>
        <w:tblStyle w:val="TableGrid0"/>
        <w:tblW w:w="0" w:type="auto"/>
        <w:tblInd w:w="-42" w:type="dxa"/>
        <w:tblCellMar>
          <w:top w:w="29" w:type="dxa"/>
          <w:left w:w="42" w:type="dxa"/>
        </w:tblCellMar>
        <w:tblLook w:val="04A0" w:firstRow="1" w:lastRow="0" w:firstColumn="1" w:lastColumn="0" w:noHBand="0" w:noVBand="1"/>
      </w:tblPr>
      <w:tblGrid>
        <w:gridCol w:w="3076"/>
        <w:gridCol w:w="2516"/>
        <w:gridCol w:w="3796"/>
      </w:tblGrid>
      <w:tr w:rsidR="00352F37" w:rsidRPr="00104424" w14:paraId="6E4E3146"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43" w14:textId="77777777" w:rsidR="00352F37" w:rsidRPr="008167FB" w:rsidRDefault="00352F37" w:rsidP="007667A1">
            <w:pPr>
              <w:pStyle w:val="NumberedList"/>
              <w:numPr>
                <w:ilvl w:val="0"/>
                <w:numId w:val="0"/>
              </w:numPr>
              <w:spacing w:line="256" w:lineRule="auto"/>
              <w:ind w:left="1361"/>
              <w:rPr>
                <w:rFonts w:eastAsia="Arial"/>
                <w:color w:val="000000"/>
              </w:rPr>
            </w:pPr>
            <w:r w:rsidRPr="008167FB">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44"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45"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4C" w14:textId="77777777" w:rsidTr="007667A1">
        <w:trPr>
          <w:trHeight w:val="1186"/>
        </w:trPr>
        <w:tc>
          <w:tcPr>
            <w:tcW w:w="0" w:type="auto"/>
            <w:tcBorders>
              <w:top w:val="single" w:sz="4" w:space="0" w:color="000000"/>
              <w:left w:val="single" w:sz="4" w:space="0" w:color="000000"/>
              <w:bottom w:val="single" w:sz="4" w:space="0" w:color="000000"/>
              <w:right w:val="single" w:sz="4" w:space="0" w:color="000000"/>
            </w:tcBorders>
            <w:hideMark/>
          </w:tcPr>
          <w:p w14:paraId="6E4E3147" w14:textId="77777777" w:rsidR="00352F37" w:rsidRPr="00104424" w:rsidRDefault="00352F37" w:rsidP="007667A1">
            <w:pPr>
              <w:spacing w:after="21" w:line="256" w:lineRule="auto"/>
              <w:rPr>
                <w:rFonts w:eastAsia="Arial" w:cs="Times New Roman"/>
                <w:color w:val="000000"/>
              </w:rPr>
            </w:pPr>
            <w:r w:rsidRPr="00104424">
              <w:rPr>
                <w:rFonts w:cs="Times New Roman"/>
              </w:rPr>
              <w:t xml:space="preserve">Distributor has </w:t>
            </w:r>
          </w:p>
          <w:p w14:paraId="6E4E3148" w14:textId="52E8E8D4" w:rsidR="00352F37" w:rsidRPr="00104424" w:rsidRDefault="00352F37" w:rsidP="007667A1">
            <w:pPr>
              <w:spacing w:after="19" w:line="256" w:lineRule="auto"/>
              <w:rPr>
                <w:rFonts w:cs="Times New Roman"/>
              </w:rPr>
            </w:pPr>
            <w:r w:rsidRPr="00104424">
              <w:rPr>
                <w:rFonts w:cs="Times New Roman"/>
              </w:rPr>
              <w:t>AML/</w:t>
            </w:r>
            <w:r>
              <w:rPr>
                <w:rFonts w:cs="Times New Roman"/>
              </w:rPr>
              <w:t>C</w:t>
            </w:r>
            <w:r w:rsidRPr="00104424">
              <w:rPr>
                <w:rFonts w:cs="Times New Roman"/>
              </w:rPr>
              <w:t xml:space="preserve">TF </w:t>
            </w:r>
          </w:p>
          <w:p w14:paraId="6E4E3149" w14:textId="77777777" w:rsidR="00352F37" w:rsidRPr="00104424" w:rsidRDefault="00352F37" w:rsidP="007667A1">
            <w:pPr>
              <w:spacing w:line="256" w:lineRule="auto"/>
              <w:rPr>
                <w:rFonts w:eastAsia="Arial" w:cs="Times New Roman"/>
                <w:color w:val="000000"/>
              </w:rPr>
            </w:pPr>
            <w:r w:rsidRPr="00104424">
              <w:rPr>
                <w:rFonts w:cs="Times New Roman"/>
              </w:rPr>
              <w:t xml:space="preserve">obligations </w:t>
            </w:r>
          </w:p>
        </w:tc>
        <w:tc>
          <w:tcPr>
            <w:tcW w:w="0" w:type="auto"/>
            <w:tcBorders>
              <w:top w:val="single" w:sz="4" w:space="0" w:color="000000"/>
              <w:left w:val="single" w:sz="4" w:space="0" w:color="000000"/>
              <w:bottom w:val="single" w:sz="4" w:space="0" w:color="000000"/>
              <w:right w:val="single" w:sz="4" w:space="0" w:color="000000"/>
            </w:tcBorders>
            <w:hideMark/>
          </w:tcPr>
          <w:p w14:paraId="6E4E314A" w14:textId="4C38EFFF" w:rsidR="00352F37" w:rsidRPr="00104424" w:rsidRDefault="00352F37" w:rsidP="007667A1">
            <w:pPr>
              <w:spacing w:line="256" w:lineRule="auto"/>
              <w:ind w:left="1"/>
              <w:rPr>
                <w:rFonts w:eastAsia="Arial" w:cs="Times New Roman"/>
                <w:color w:val="000000"/>
              </w:rPr>
            </w:pPr>
            <w:r w:rsidRPr="00104424">
              <w:rPr>
                <w:rFonts w:cs="Times New Roman"/>
              </w:rPr>
              <w:t>Distributor is overseen by a regulatory authority and subject to AML/</w:t>
            </w:r>
            <w:r>
              <w:rPr>
                <w:rFonts w:cs="Times New Roman"/>
              </w:rPr>
              <w:t>C</w:t>
            </w:r>
            <w:r w:rsidRPr="00104424">
              <w:rPr>
                <w:rFonts w:cs="Times New Roman"/>
              </w:rPr>
              <w:t xml:space="preserve">TF laws equivalent to life </w:t>
            </w:r>
            <w:r>
              <w:rPr>
                <w:rFonts w:cs="Times New Roman"/>
              </w:rPr>
              <w:t>insurer</w:t>
            </w:r>
            <w:r w:rsidRPr="00104424">
              <w:rPr>
                <w:rFonts w:cs="Times New Roman"/>
              </w:rPr>
              <w:t xml:space="preserve"> or stronger </w:t>
            </w:r>
          </w:p>
        </w:tc>
        <w:tc>
          <w:tcPr>
            <w:tcW w:w="0" w:type="auto"/>
            <w:tcBorders>
              <w:top w:val="single" w:sz="4" w:space="0" w:color="000000"/>
              <w:left w:val="single" w:sz="4" w:space="0" w:color="000000"/>
              <w:bottom w:val="single" w:sz="4" w:space="0" w:color="000000"/>
              <w:right w:val="single" w:sz="4" w:space="0" w:color="000000"/>
            </w:tcBorders>
            <w:hideMark/>
          </w:tcPr>
          <w:p w14:paraId="6E4E314B" w14:textId="3F5BE174" w:rsidR="00352F37" w:rsidRPr="00104424" w:rsidRDefault="00352F37" w:rsidP="007667A1">
            <w:pPr>
              <w:spacing w:line="256" w:lineRule="auto"/>
              <w:ind w:left="1"/>
              <w:rPr>
                <w:rFonts w:eastAsia="Arial" w:cs="Times New Roman"/>
                <w:color w:val="000000"/>
              </w:rPr>
            </w:pPr>
            <w:r w:rsidRPr="00104424">
              <w:rPr>
                <w:rFonts w:cs="Times New Roman"/>
              </w:rPr>
              <w:t>Distributors not subject to AML/</w:t>
            </w:r>
            <w:r>
              <w:rPr>
                <w:rFonts w:cs="Times New Roman"/>
              </w:rPr>
              <w:t>C</w:t>
            </w:r>
            <w:r w:rsidRPr="00104424">
              <w:rPr>
                <w:rFonts w:cs="Times New Roman"/>
              </w:rPr>
              <w:t>TF requirements</w:t>
            </w:r>
          </w:p>
        </w:tc>
      </w:tr>
      <w:tr w:rsidR="00352F37" w:rsidRPr="00104424" w14:paraId="6E4E3151" w14:textId="77777777" w:rsidTr="007667A1">
        <w:trPr>
          <w:trHeight w:val="1606"/>
        </w:trPr>
        <w:tc>
          <w:tcPr>
            <w:tcW w:w="0" w:type="auto"/>
            <w:tcBorders>
              <w:top w:val="single" w:sz="4" w:space="0" w:color="000000"/>
              <w:left w:val="single" w:sz="4" w:space="0" w:color="000000"/>
              <w:bottom w:val="single" w:sz="4" w:space="0" w:color="000000"/>
              <w:right w:val="single" w:sz="4" w:space="0" w:color="000000"/>
            </w:tcBorders>
            <w:hideMark/>
          </w:tcPr>
          <w:p w14:paraId="6E4E314D" w14:textId="77777777" w:rsidR="00352F37" w:rsidRPr="00104424" w:rsidRDefault="00352F37" w:rsidP="007667A1">
            <w:pPr>
              <w:spacing w:line="256" w:lineRule="auto"/>
              <w:rPr>
                <w:rFonts w:eastAsia="Arial" w:cs="Times New Roman"/>
                <w:color w:val="000000"/>
              </w:rPr>
            </w:pPr>
            <w:r w:rsidRPr="00104424">
              <w:rPr>
                <w:rFonts w:cs="Times New Roman"/>
              </w:rPr>
              <w:t xml:space="preserve">Payment to life </w:t>
            </w:r>
            <w:r>
              <w:rPr>
                <w:rFonts w:cs="Times New Roman"/>
              </w:rPr>
              <w:t>insurer</w:t>
            </w:r>
          </w:p>
        </w:tc>
        <w:tc>
          <w:tcPr>
            <w:tcW w:w="0" w:type="auto"/>
            <w:tcBorders>
              <w:top w:val="single" w:sz="4" w:space="0" w:color="000000"/>
              <w:left w:val="single" w:sz="4" w:space="0" w:color="000000"/>
              <w:bottom w:val="single" w:sz="4" w:space="0" w:color="000000"/>
              <w:right w:val="single" w:sz="4" w:space="0" w:color="000000"/>
            </w:tcBorders>
            <w:hideMark/>
          </w:tcPr>
          <w:p w14:paraId="6E4E314E"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pays Life </w:t>
            </w:r>
            <w:r>
              <w:rPr>
                <w:rFonts w:cs="Times New Roman"/>
              </w:rPr>
              <w:t>Insurer</w:t>
            </w:r>
            <w:r w:rsidRPr="00104424">
              <w:rPr>
                <w:rFonts w:cs="Times New Roman"/>
              </w:rPr>
              <w:t xml:space="preserve"> directly from their account at a bank or securities dealer</w:t>
            </w:r>
          </w:p>
        </w:tc>
        <w:tc>
          <w:tcPr>
            <w:tcW w:w="0" w:type="auto"/>
            <w:tcBorders>
              <w:top w:val="single" w:sz="4" w:space="0" w:color="000000"/>
              <w:left w:val="single" w:sz="4" w:space="0" w:color="000000"/>
              <w:bottom w:val="single" w:sz="4" w:space="0" w:color="000000"/>
              <w:right w:val="single" w:sz="4" w:space="0" w:color="000000"/>
            </w:tcBorders>
            <w:hideMark/>
          </w:tcPr>
          <w:p w14:paraId="6E4E314F" w14:textId="77777777" w:rsidR="00352F37" w:rsidRPr="00104424" w:rsidRDefault="00352F37" w:rsidP="007667A1">
            <w:pPr>
              <w:spacing w:after="120" w:line="276" w:lineRule="auto"/>
              <w:ind w:left="1"/>
              <w:rPr>
                <w:rFonts w:eastAsia="Arial" w:cs="Times New Roman"/>
                <w:color w:val="000000"/>
              </w:rPr>
            </w:pPr>
            <w:r w:rsidRPr="00104424">
              <w:rPr>
                <w:rFonts w:cs="Times New Roman"/>
              </w:rPr>
              <w:t xml:space="preserve">Customer pays a distributor, who then pays the Life </w:t>
            </w:r>
            <w:r>
              <w:rPr>
                <w:rFonts w:cs="Times New Roman"/>
              </w:rPr>
              <w:t>Insurer</w:t>
            </w:r>
            <w:r w:rsidRPr="00104424">
              <w:rPr>
                <w:rFonts w:cs="Times New Roman"/>
              </w:rPr>
              <w:t xml:space="preserve">. </w:t>
            </w:r>
          </w:p>
          <w:p w14:paraId="6E4E3150"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Risk: The intermediary obscures the source of payment. </w:t>
            </w:r>
          </w:p>
        </w:tc>
      </w:tr>
      <w:tr w:rsidR="00352F37" w:rsidRPr="00104424" w14:paraId="6E4E3156" w14:textId="77777777" w:rsidTr="007667A1">
        <w:trPr>
          <w:trHeight w:val="1719"/>
        </w:trPr>
        <w:tc>
          <w:tcPr>
            <w:tcW w:w="0" w:type="auto"/>
            <w:tcBorders>
              <w:top w:val="single" w:sz="4" w:space="0" w:color="000000"/>
              <w:left w:val="single" w:sz="4" w:space="0" w:color="000000"/>
              <w:bottom w:val="single" w:sz="4" w:space="0" w:color="000000"/>
              <w:right w:val="single" w:sz="4" w:space="0" w:color="000000"/>
            </w:tcBorders>
            <w:hideMark/>
          </w:tcPr>
          <w:p w14:paraId="6E4E3152" w14:textId="77777777" w:rsidR="00352F37" w:rsidRPr="00104424" w:rsidRDefault="00352F37" w:rsidP="007667A1">
            <w:pPr>
              <w:spacing w:line="256" w:lineRule="auto"/>
              <w:rPr>
                <w:rFonts w:eastAsia="Arial" w:cs="Times New Roman"/>
                <w:color w:val="000000"/>
              </w:rPr>
            </w:pPr>
            <w:r w:rsidRPr="00104424">
              <w:rPr>
                <w:rFonts w:cs="Times New Roman"/>
              </w:rPr>
              <w:t xml:space="preserve">Direct relationship of customer to Life </w:t>
            </w:r>
            <w:r>
              <w:rPr>
                <w:rFonts w:cs="Times New Roman"/>
              </w:rPr>
              <w:t>Insurer</w:t>
            </w:r>
            <w:r w:rsidRPr="00104424">
              <w:rPr>
                <w:rFonts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6E4E3153" w14:textId="77777777" w:rsidR="00352F37" w:rsidRPr="00104424" w:rsidRDefault="00352F37" w:rsidP="007667A1">
            <w:pPr>
              <w:spacing w:after="120" w:line="273" w:lineRule="auto"/>
              <w:ind w:left="1"/>
              <w:rPr>
                <w:rFonts w:eastAsia="Arial" w:cs="Times New Roman"/>
                <w:color w:val="000000"/>
              </w:rPr>
            </w:pPr>
            <w:r w:rsidRPr="00104424">
              <w:rPr>
                <w:rFonts w:cs="Times New Roman"/>
              </w:rPr>
              <w:t xml:space="preserve">Contracted agents and banking consultants  </w:t>
            </w:r>
          </w:p>
          <w:p w14:paraId="6E4E3154"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Products distributed by Life </w:t>
            </w:r>
            <w:r>
              <w:rPr>
                <w:rFonts w:cs="Times New Roman"/>
              </w:rPr>
              <w:t>Insurer</w:t>
            </w:r>
            <w:r w:rsidRPr="00104424">
              <w:rPr>
                <w:rFonts w:cs="Times New Roman"/>
              </w:rPr>
              <w:t xml:space="preserve"> employees </w:t>
            </w:r>
          </w:p>
        </w:tc>
        <w:tc>
          <w:tcPr>
            <w:tcW w:w="0" w:type="auto"/>
            <w:tcBorders>
              <w:top w:val="single" w:sz="4" w:space="0" w:color="000000"/>
              <w:left w:val="single" w:sz="4" w:space="0" w:color="000000"/>
              <w:bottom w:val="single" w:sz="4" w:space="0" w:color="000000"/>
              <w:right w:val="single" w:sz="4" w:space="0" w:color="000000"/>
            </w:tcBorders>
            <w:hideMark/>
          </w:tcPr>
          <w:p w14:paraId="6E4E3155" w14:textId="77777777" w:rsidR="00352F37" w:rsidRPr="00104424" w:rsidRDefault="00352F37" w:rsidP="007667A1">
            <w:pPr>
              <w:spacing w:after="119" w:line="276" w:lineRule="auto"/>
              <w:ind w:left="1"/>
              <w:rPr>
                <w:rFonts w:eastAsia="Arial" w:cs="Times New Roman"/>
                <w:color w:val="000000"/>
              </w:rPr>
            </w:pPr>
            <w:r w:rsidRPr="00104424">
              <w:rPr>
                <w:rFonts w:cs="Times New Roman"/>
              </w:rPr>
              <w:t xml:space="preserve">No face-to-face relationship with Life </w:t>
            </w:r>
            <w:r>
              <w:rPr>
                <w:rFonts w:cs="Times New Roman"/>
              </w:rPr>
              <w:t>Insurer</w:t>
            </w:r>
            <w:r w:rsidRPr="00104424">
              <w:rPr>
                <w:rFonts w:cs="Times New Roman"/>
              </w:rPr>
              <w:t xml:space="preserve"> employee or an agent. For example, trusts or insurance sold by telephone or online without </w:t>
            </w:r>
            <w:r>
              <w:rPr>
                <w:rFonts w:cs="Times New Roman"/>
              </w:rPr>
              <w:t xml:space="preserve">adequate safeguards for </w:t>
            </w:r>
            <w:r w:rsidRPr="00104424">
              <w:rPr>
                <w:rFonts w:cs="Times New Roman"/>
              </w:rPr>
              <w:t>confirmation of identification.</w:t>
            </w:r>
          </w:p>
        </w:tc>
      </w:tr>
    </w:tbl>
    <w:p w14:paraId="6E4E3157" w14:textId="02D9AFA0" w:rsidR="00352F37" w:rsidRDefault="00352F37" w:rsidP="00207A1F">
      <w:pPr>
        <w:pStyle w:val="BulletedList"/>
        <w:numPr>
          <w:ilvl w:val="0"/>
          <w:numId w:val="23"/>
        </w:numPr>
        <w:spacing w:before="120"/>
      </w:pPr>
      <w:r>
        <w:t xml:space="preserve">The following </w:t>
      </w:r>
      <w:r w:rsidR="00207A1F">
        <w:t xml:space="preserve">distribution/intermediary risk </w:t>
      </w:r>
      <w:r>
        <w:t>factors may contribute to higher risk:</w:t>
      </w:r>
    </w:p>
    <w:p w14:paraId="6E4E3158" w14:textId="42E4F47C" w:rsidR="00352F37" w:rsidRDefault="00352F37" w:rsidP="00352F37">
      <w:pPr>
        <w:pStyle w:val="BulletedList"/>
        <w:numPr>
          <w:ilvl w:val="1"/>
          <w:numId w:val="23"/>
        </w:numPr>
      </w:pPr>
      <w:r>
        <w:t>Non-face-to-face sales, such as online, postal or telephone sales, without adequate safeguards to mitigate the risks of identity fraud;</w:t>
      </w:r>
    </w:p>
    <w:p w14:paraId="6E4E3159" w14:textId="77777777" w:rsidR="00352F37" w:rsidRDefault="00352F37" w:rsidP="00352F37">
      <w:pPr>
        <w:pStyle w:val="ListParagraph"/>
        <w:numPr>
          <w:ilvl w:val="1"/>
          <w:numId w:val="23"/>
        </w:numPr>
      </w:pPr>
      <w:r w:rsidRPr="0001576B">
        <w:t>The intermediary is involved in the management of claims.</w:t>
      </w:r>
    </w:p>
    <w:p w14:paraId="6E4E315A" w14:textId="77777777" w:rsidR="00352F37" w:rsidRDefault="00352F37" w:rsidP="00352F37">
      <w:pPr>
        <w:pStyle w:val="BulletedList"/>
        <w:numPr>
          <w:ilvl w:val="1"/>
          <w:numId w:val="23"/>
        </w:numPr>
      </w:pPr>
      <w:r>
        <w:t>Long chains of intermediaries; and</w:t>
      </w:r>
    </w:p>
    <w:p w14:paraId="6E4E315B" w14:textId="77777777" w:rsidR="00352F37" w:rsidRDefault="00352F37" w:rsidP="00352F37">
      <w:pPr>
        <w:pStyle w:val="BulletedList"/>
        <w:numPr>
          <w:ilvl w:val="1"/>
          <w:numId w:val="23"/>
        </w:numPr>
      </w:pPr>
      <w:r>
        <w:t xml:space="preserve">Intermediary is used in unusual circumstances (e.g., motivated by an unexplained geographical distance). </w:t>
      </w:r>
    </w:p>
    <w:p w14:paraId="6E4E315C" w14:textId="77777777" w:rsidR="00352F37" w:rsidRDefault="00352F37" w:rsidP="00352F37">
      <w:pPr>
        <w:pStyle w:val="BulletedList"/>
        <w:numPr>
          <w:ilvl w:val="0"/>
          <w:numId w:val="23"/>
        </w:numPr>
      </w:pPr>
      <w:r>
        <w:t>The following factors may contribute to lower risk:</w:t>
      </w:r>
    </w:p>
    <w:p w14:paraId="6E4E315D" w14:textId="77777777" w:rsidR="00352F37" w:rsidRDefault="00352F37" w:rsidP="00352F37">
      <w:pPr>
        <w:pStyle w:val="BulletedList"/>
        <w:numPr>
          <w:ilvl w:val="1"/>
          <w:numId w:val="23"/>
        </w:numPr>
      </w:pPr>
      <w:r>
        <w:t>Distribution is done through certain companies that have a contract with the insurer to provide life insurance for their employees, for example as part of a benefits package.</w:t>
      </w:r>
    </w:p>
    <w:p w14:paraId="6E4E315E" w14:textId="77777777" w:rsidR="00352F37" w:rsidRPr="008167FB" w:rsidRDefault="00352F37" w:rsidP="00352F37">
      <w:pPr>
        <w:pStyle w:val="Para0"/>
        <w:rPr>
          <w:b/>
          <w:i/>
        </w:rPr>
      </w:pPr>
      <w:r w:rsidRPr="008167FB">
        <w:rPr>
          <w:b/>
          <w:i/>
        </w:rPr>
        <w:t xml:space="preserve">Geographic risk factors </w:t>
      </w:r>
    </w:p>
    <w:p w14:paraId="6E4E315F" w14:textId="64840E9D" w:rsidR="00352F37" w:rsidRDefault="00352F37" w:rsidP="00352F37">
      <w:pPr>
        <w:pStyle w:val="Para"/>
      </w:pPr>
      <w:r>
        <w:t>Life insurers should periodically assess geographic risk by identifying how vulnerable the business is to money laundering or terrorist financing activities based on business connections to regions and countries which are perceived to present a higher risk</w:t>
      </w:r>
      <w:r w:rsidR="009C335E">
        <w:t xml:space="preserve"> (see para 107)</w:t>
      </w:r>
      <w:r>
        <w:t xml:space="preserve">. </w:t>
      </w:r>
    </w:p>
    <w:p w14:paraId="6E4E3160" w14:textId="77777777" w:rsidR="00352F37" w:rsidRPr="008167FB" w:rsidRDefault="00352F37" w:rsidP="00352F37">
      <w:pPr>
        <w:pStyle w:val="Para0"/>
        <w:rPr>
          <w:b/>
          <w:i/>
        </w:rPr>
      </w:pPr>
      <w:r w:rsidRPr="008167FB">
        <w:rPr>
          <w:b/>
          <w:i/>
        </w:rPr>
        <w:t>Customer risk factors</w:t>
      </w:r>
    </w:p>
    <w:p w14:paraId="6E4E3161" w14:textId="77777777" w:rsidR="00352F37" w:rsidRDefault="00352F37" w:rsidP="00352F37">
      <w:pPr>
        <w:pStyle w:val="Para"/>
      </w:pPr>
      <w:r>
        <w:t xml:space="preserve">Customer-based risk factors are assessed to evaluate the level of vulnerability to money laundering and terrorist financing threats posed by customers based on their characteristics. Understanding the inherent risks helps us effectively identify appropriate mitigating controls and manage residual risks. Customer risk factors combined with </w:t>
      </w:r>
      <w:r>
        <w:lastRenderedPageBreak/>
        <w:t>business risk factors, can be used as criteria for risk scoring to identify high risk customers. Customer based risk factors include:</w:t>
      </w:r>
    </w:p>
    <w:p w14:paraId="6E4E3162" w14:textId="77777777" w:rsidR="00352F37" w:rsidRDefault="00352F37" w:rsidP="00352F37">
      <w:pPr>
        <w:pStyle w:val="BulletedList"/>
        <w:numPr>
          <w:ilvl w:val="0"/>
          <w:numId w:val="23"/>
        </w:numPr>
      </w:pPr>
      <w:r>
        <w:t xml:space="preserve">Customer identity </w:t>
      </w:r>
    </w:p>
    <w:p w14:paraId="6E4E3163" w14:textId="77777777" w:rsidR="00352F37" w:rsidRDefault="00352F37" w:rsidP="00352F37">
      <w:pPr>
        <w:pStyle w:val="BulletedList"/>
        <w:numPr>
          <w:ilvl w:val="0"/>
          <w:numId w:val="23"/>
        </w:numPr>
      </w:pPr>
      <w:r>
        <w:t xml:space="preserve">Third party involvement </w:t>
      </w:r>
    </w:p>
    <w:p w14:paraId="6E4E3164" w14:textId="77777777" w:rsidR="00352F37" w:rsidRDefault="00352F37" w:rsidP="00352F37">
      <w:pPr>
        <w:pStyle w:val="BulletedList"/>
        <w:numPr>
          <w:ilvl w:val="0"/>
          <w:numId w:val="23"/>
        </w:numPr>
      </w:pPr>
      <w:r>
        <w:t xml:space="preserve">Customer’s source of wealth/funds </w:t>
      </w:r>
    </w:p>
    <w:p w14:paraId="6E4E3165" w14:textId="77777777" w:rsidR="00352F37" w:rsidRDefault="00352F37" w:rsidP="00352F37">
      <w:pPr>
        <w:pStyle w:val="BulletedList"/>
        <w:numPr>
          <w:ilvl w:val="0"/>
          <w:numId w:val="23"/>
        </w:numPr>
      </w:pPr>
      <w:r>
        <w:t xml:space="preserve">Politically exposed customers </w:t>
      </w:r>
    </w:p>
    <w:p w14:paraId="6E4E3166" w14:textId="77777777" w:rsidR="00352F37" w:rsidRDefault="00352F37" w:rsidP="00352F37">
      <w:pPr>
        <w:pStyle w:val="BulletedList"/>
        <w:numPr>
          <w:ilvl w:val="0"/>
          <w:numId w:val="23"/>
        </w:numPr>
      </w:pPr>
      <w:r>
        <w:t xml:space="preserve">Known criminal or terrorist </w:t>
      </w:r>
    </w:p>
    <w:p w14:paraId="6E4E3167" w14:textId="77777777" w:rsidR="00352F37" w:rsidRDefault="00352F37" w:rsidP="00352F37">
      <w:pPr>
        <w:pStyle w:val="Para"/>
      </w:pPr>
      <w:r>
        <w:t xml:space="preserve">The following table describes customer-based risk attributes used to assess vulnerability to money laundering and terrorist financing. </w:t>
      </w:r>
    </w:p>
    <w:tbl>
      <w:tblPr>
        <w:tblStyle w:val="TableGrid0"/>
        <w:tblW w:w="0" w:type="auto"/>
        <w:tblInd w:w="-42" w:type="dxa"/>
        <w:tblCellMar>
          <w:top w:w="29" w:type="dxa"/>
          <w:left w:w="42" w:type="dxa"/>
        </w:tblCellMar>
        <w:tblLook w:val="04A0" w:firstRow="1" w:lastRow="0" w:firstColumn="1" w:lastColumn="0" w:noHBand="0" w:noVBand="1"/>
      </w:tblPr>
      <w:tblGrid>
        <w:gridCol w:w="3288"/>
        <w:gridCol w:w="2911"/>
        <w:gridCol w:w="3189"/>
      </w:tblGrid>
      <w:tr w:rsidR="00352F37" w:rsidRPr="00104424" w14:paraId="6E4E316B"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68" w14:textId="77777777" w:rsidR="00352F37" w:rsidRPr="008167FB" w:rsidRDefault="00352F37" w:rsidP="007667A1">
            <w:pPr>
              <w:pStyle w:val="NumberedList"/>
              <w:numPr>
                <w:ilvl w:val="0"/>
                <w:numId w:val="0"/>
              </w:numPr>
              <w:spacing w:line="256" w:lineRule="auto"/>
              <w:ind w:left="1361"/>
              <w:rPr>
                <w:rFonts w:eastAsia="Arial"/>
                <w:color w:val="000000"/>
              </w:rPr>
            </w:pPr>
            <w:r w:rsidRPr="008167FB">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69"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6A"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6F" w14:textId="77777777" w:rsidTr="007667A1">
        <w:trPr>
          <w:trHeight w:val="1186"/>
        </w:trPr>
        <w:tc>
          <w:tcPr>
            <w:tcW w:w="0" w:type="auto"/>
            <w:tcBorders>
              <w:top w:val="single" w:sz="4" w:space="0" w:color="000000"/>
              <w:left w:val="single" w:sz="4" w:space="0" w:color="000000"/>
              <w:bottom w:val="single" w:sz="4" w:space="0" w:color="000000"/>
              <w:right w:val="single" w:sz="4" w:space="0" w:color="000000"/>
            </w:tcBorders>
            <w:hideMark/>
          </w:tcPr>
          <w:p w14:paraId="6E4E316C"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Identification </w:t>
            </w:r>
          </w:p>
        </w:tc>
        <w:tc>
          <w:tcPr>
            <w:tcW w:w="0" w:type="auto"/>
            <w:tcBorders>
              <w:top w:val="single" w:sz="4" w:space="0" w:color="000000"/>
              <w:left w:val="single" w:sz="4" w:space="0" w:color="000000"/>
              <w:bottom w:val="single" w:sz="4" w:space="0" w:color="000000"/>
              <w:right w:val="single" w:sz="4" w:space="0" w:color="000000"/>
            </w:tcBorders>
            <w:hideMark/>
          </w:tcPr>
          <w:p w14:paraId="6E4E316D"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provides photo identification or can be identified using third party sources </w:t>
            </w:r>
          </w:p>
        </w:tc>
        <w:tc>
          <w:tcPr>
            <w:tcW w:w="0" w:type="auto"/>
            <w:tcBorders>
              <w:top w:val="single" w:sz="4" w:space="0" w:color="000000"/>
              <w:left w:val="single" w:sz="4" w:space="0" w:color="000000"/>
              <w:bottom w:val="single" w:sz="4" w:space="0" w:color="000000"/>
              <w:right w:val="single" w:sz="4" w:space="0" w:color="000000"/>
            </w:tcBorders>
            <w:hideMark/>
          </w:tcPr>
          <w:p w14:paraId="6E4E316E"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has difficulty producing identification or the authenticity of the identification provided is questionable </w:t>
            </w:r>
          </w:p>
        </w:tc>
      </w:tr>
      <w:tr w:rsidR="00352F37" w:rsidRPr="00104424" w14:paraId="6E4E3177"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70"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Third party relationships </w:t>
            </w:r>
          </w:p>
        </w:tc>
        <w:tc>
          <w:tcPr>
            <w:tcW w:w="0" w:type="auto"/>
            <w:tcBorders>
              <w:top w:val="single" w:sz="4" w:space="0" w:color="000000"/>
              <w:left w:val="single" w:sz="4" w:space="0" w:color="000000"/>
              <w:bottom w:val="single" w:sz="4" w:space="0" w:color="000000"/>
              <w:right w:val="single" w:sz="4" w:space="0" w:color="000000"/>
            </w:tcBorders>
            <w:hideMark/>
          </w:tcPr>
          <w:p w14:paraId="6E4E3171"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No third party involvement </w:t>
            </w:r>
          </w:p>
        </w:tc>
        <w:tc>
          <w:tcPr>
            <w:tcW w:w="0" w:type="auto"/>
            <w:tcBorders>
              <w:top w:val="single" w:sz="4" w:space="0" w:color="000000"/>
              <w:left w:val="single" w:sz="4" w:space="0" w:color="000000"/>
              <w:bottom w:val="single" w:sz="4" w:space="0" w:color="000000"/>
              <w:right w:val="single" w:sz="4" w:space="0" w:color="000000"/>
            </w:tcBorders>
          </w:tcPr>
          <w:p w14:paraId="6E4E3172" w14:textId="77777777" w:rsidR="00352F37" w:rsidRPr="00104424" w:rsidRDefault="00352F37" w:rsidP="007667A1">
            <w:pPr>
              <w:spacing w:after="21" w:line="256" w:lineRule="auto"/>
              <w:ind w:left="1"/>
              <w:jc w:val="left"/>
              <w:rPr>
                <w:rFonts w:eastAsia="Arial" w:cs="Times New Roman"/>
                <w:color w:val="000000"/>
              </w:rPr>
            </w:pPr>
            <w:r w:rsidRPr="00104424">
              <w:rPr>
                <w:rFonts w:cs="Times New Roman"/>
              </w:rPr>
              <w:t xml:space="preserve">Controlled by a third party, or multiple </w:t>
            </w:r>
          </w:p>
          <w:p w14:paraId="6E4E3173" w14:textId="77777777" w:rsidR="00352F37" w:rsidRPr="00104424" w:rsidRDefault="00352F37" w:rsidP="007667A1">
            <w:pPr>
              <w:spacing w:after="19" w:line="256" w:lineRule="auto"/>
              <w:ind w:left="1"/>
              <w:jc w:val="left"/>
              <w:rPr>
                <w:rFonts w:cs="Times New Roman"/>
              </w:rPr>
            </w:pPr>
            <w:r w:rsidRPr="00104424">
              <w:rPr>
                <w:rFonts w:cs="Times New Roman"/>
              </w:rPr>
              <w:t xml:space="preserve">indicators of third party deposits or </w:t>
            </w:r>
          </w:p>
          <w:p w14:paraId="6E4E3174" w14:textId="77777777" w:rsidR="00352F37" w:rsidRPr="00104424" w:rsidRDefault="00352F37" w:rsidP="007667A1">
            <w:pPr>
              <w:spacing w:line="256" w:lineRule="auto"/>
              <w:ind w:left="1"/>
              <w:jc w:val="left"/>
              <w:rPr>
                <w:rFonts w:cs="Times New Roman"/>
              </w:rPr>
            </w:pPr>
            <w:r w:rsidRPr="00104424">
              <w:rPr>
                <w:rFonts w:cs="Times New Roman"/>
              </w:rPr>
              <w:t xml:space="preserve">payments </w:t>
            </w:r>
          </w:p>
          <w:p w14:paraId="6E4E3175" w14:textId="77777777" w:rsidR="00352F37" w:rsidRPr="00104424" w:rsidRDefault="00352F37" w:rsidP="007667A1">
            <w:pPr>
              <w:spacing w:line="256" w:lineRule="auto"/>
              <w:ind w:left="1"/>
              <w:jc w:val="left"/>
              <w:rPr>
                <w:rFonts w:cs="Times New Roman"/>
              </w:rPr>
            </w:pPr>
          </w:p>
          <w:p w14:paraId="6E4E3176"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Controlled by a Gatekeeper without any interaction with the beneficial owner</w:t>
            </w:r>
          </w:p>
        </w:tc>
      </w:tr>
      <w:tr w:rsidR="00352F37" w:rsidRPr="00104424" w14:paraId="6E4E317F" w14:textId="77777777" w:rsidTr="007667A1">
        <w:trPr>
          <w:trHeight w:val="1486"/>
        </w:trPr>
        <w:tc>
          <w:tcPr>
            <w:tcW w:w="0" w:type="auto"/>
            <w:tcBorders>
              <w:top w:val="single" w:sz="4" w:space="0" w:color="000000"/>
              <w:left w:val="single" w:sz="4" w:space="0" w:color="000000"/>
              <w:bottom w:val="single" w:sz="4" w:space="0" w:color="000000"/>
              <w:right w:val="single" w:sz="4" w:space="0" w:color="000000"/>
            </w:tcBorders>
            <w:hideMark/>
          </w:tcPr>
          <w:p w14:paraId="6E4E3178" w14:textId="77777777" w:rsidR="00352F37" w:rsidRPr="00104424" w:rsidRDefault="00352F37" w:rsidP="007667A1">
            <w:pPr>
              <w:spacing w:line="256" w:lineRule="auto"/>
              <w:jc w:val="left"/>
              <w:rPr>
                <w:rFonts w:eastAsia="Arial" w:cs="Times New Roman"/>
                <w:color w:val="000000"/>
              </w:rPr>
            </w:pPr>
            <w:r w:rsidRPr="00104424">
              <w:rPr>
                <w:rFonts w:cs="Times New Roman"/>
              </w:rPr>
              <w:t>Customer’s legal form</w:t>
            </w:r>
          </w:p>
        </w:tc>
        <w:tc>
          <w:tcPr>
            <w:tcW w:w="0" w:type="auto"/>
            <w:tcBorders>
              <w:top w:val="single" w:sz="4" w:space="0" w:color="000000"/>
              <w:left w:val="single" w:sz="4" w:space="0" w:color="000000"/>
              <w:bottom w:val="single" w:sz="4" w:space="0" w:color="000000"/>
              <w:right w:val="single" w:sz="4" w:space="0" w:color="000000"/>
            </w:tcBorders>
            <w:hideMark/>
          </w:tcPr>
          <w:p w14:paraId="6E4E3179" w14:textId="77777777" w:rsidR="00352F37" w:rsidRPr="00104424" w:rsidRDefault="00352F37" w:rsidP="007667A1">
            <w:pPr>
              <w:spacing w:line="256" w:lineRule="auto"/>
              <w:ind w:left="1" w:right="37"/>
              <w:jc w:val="left"/>
              <w:rPr>
                <w:rFonts w:cs="Times New Roman"/>
              </w:rPr>
            </w:pPr>
            <w:r w:rsidRPr="00104424">
              <w:rPr>
                <w:rFonts w:cs="Times New Roman"/>
              </w:rPr>
              <w:t>Customer is a living person</w:t>
            </w:r>
          </w:p>
          <w:p w14:paraId="6E4E317A" w14:textId="77777777" w:rsidR="00352F37" w:rsidRPr="00104424" w:rsidRDefault="00352F37" w:rsidP="007667A1">
            <w:pPr>
              <w:spacing w:line="256" w:lineRule="auto"/>
              <w:ind w:left="1" w:right="37"/>
              <w:jc w:val="left"/>
              <w:rPr>
                <w:rFonts w:cs="Times New Roman"/>
              </w:rPr>
            </w:pPr>
          </w:p>
          <w:p w14:paraId="6E4E317B" w14:textId="77777777" w:rsidR="00352F37" w:rsidRPr="00104424" w:rsidRDefault="00352F37" w:rsidP="007667A1">
            <w:pPr>
              <w:spacing w:line="256" w:lineRule="auto"/>
              <w:ind w:left="1" w:right="37"/>
              <w:jc w:val="left"/>
              <w:rPr>
                <w:rFonts w:eastAsia="Arial" w:cs="Times New Roman"/>
                <w:color w:val="000000"/>
              </w:rPr>
            </w:pPr>
            <w:r w:rsidRPr="00104424">
              <w:rPr>
                <w:rFonts w:cs="Times New Roman"/>
              </w:rPr>
              <w:t>Customer is a large, publicly traded legal entity with clear ownership and control</w:t>
            </w:r>
          </w:p>
        </w:tc>
        <w:tc>
          <w:tcPr>
            <w:tcW w:w="0" w:type="auto"/>
            <w:tcBorders>
              <w:top w:val="single" w:sz="4" w:space="0" w:color="000000"/>
              <w:left w:val="single" w:sz="4" w:space="0" w:color="000000"/>
              <w:bottom w:val="single" w:sz="4" w:space="0" w:color="000000"/>
              <w:right w:val="single" w:sz="4" w:space="0" w:color="000000"/>
            </w:tcBorders>
            <w:hideMark/>
          </w:tcPr>
          <w:p w14:paraId="6E4E317C" w14:textId="77777777" w:rsidR="00352F37" w:rsidRPr="00104424" w:rsidRDefault="00352F37" w:rsidP="007667A1">
            <w:pPr>
              <w:spacing w:line="256" w:lineRule="auto"/>
              <w:ind w:left="1"/>
              <w:jc w:val="left"/>
              <w:rPr>
                <w:rFonts w:cs="Times New Roman"/>
              </w:rPr>
            </w:pPr>
            <w:r w:rsidRPr="00104424">
              <w:rPr>
                <w:rFonts w:cs="Times New Roman"/>
              </w:rPr>
              <w:t>Customer is a legal entity with a complex structure difficult to ascertain those who own or control the entity.</w:t>
            </w:r>
          </w:p>
          <w:p w14:paraId="6E4E317D" w14:textId="77777777" w:rsidR="00352F37" w:rsidRPr="00104424" w:rsidRDefault="00352F37" w:rsidP="007667A1">
            <w:pPr>
              <w:spacing w:line="256" w:lineRule="auto"/>
              <w:ind w:left="1"/>
              <w:jc w:val="left"/>
              <w:rPr>
                <w:rFonts w:cs="Times New Roman"/>
              </w:rPr>
            </w:pPr>
          </w:p>
          <w:p w14:paraId="6E4E317E" w14:textId="77777777" w:rsidR="00352F37" w:rsidRPr="00104424" w:rsidRDefault="00352F37" w:rsidP="007667A1">
            <w:pPr>
              <w:spacing w:line="256" w:lineRule="auto"/>
              <w:ind w:left="1"/>
              <w:jc w:val="left"/>
              <w:rPr>
                <w:rFonts w:eastAsia="Arial" w:cs="Times New Roman"/>
                <w:color w:val="000000"/>
              </w:rPr>
            </w:pPr>
            <w:r w:rsidRPr="00104424">
              <w:rPr>
                <w:rFonts w:eastAsia="Arial" w:cs="Times New Roman"/>
                <w:color w:val="000000"/>
              </w:rPr>
              <w:t>Policy holder and/or the beneficiary of the contract are companies with nominee shareholders and/or shares in bearer form</w:t>
            </w:r>
          </w:p>
        </w:tc>
      </w:tr>
      <w:tr w:rsidR="00352F37" w:rsidRPr="00104424" w14:paraId="6E4E3188" w14:textId="77777777" w:rsidTr="007667A1">
        <w:trPr>
          <w:trHeight w:val="587"/>
        </w:trPr>
        <w:tc>
          <w:tcPr>
            <w:tcW w:w="0" w:type="auto"/>
            <w:tcBorders>
              <w:top w:val="single" w:sz="4" w:space="0" w:color="000000"/>
              <w:left w:val="single" w:sz="4" w:space="0" w:color="000000"/>
              <w:bottom w:val="single" w:sz="4" w:space="0" w:color="000000"/>
              <w:right w:val="single" w:sz="4" w:space="0" w:color="000000"/>
            </w:tcBorders>
            <w:hideMark/>
          </w:tcPr>
          <w:p w14:paraId="6E4E3180"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Source of funds and wealth; including occupation or business type </w:t>
            </w:r>
          </w:p>
        </w:tc>
        <w:tc>
          <w:tcPr>
            <w:tcW w:w="0" w:type="auto"/>
            <w:tcBorders>
              <w:top w:val="single" w:sz="4" w:space="0" w:color="000000"/>
              <w:left w:val="single" w:sz="4" w:space="0" w:color="000000"/>
              <w:bottom w:val="single" w:sz="4" w:space="0" w:color="000000"/>
              <w:right w:val="single" w:sz="4" w:space="0" w:color="000000"/>
            </w:tcBorders>
          </w:tcPr>
          <w:p w14:paraId="6E4E3181" w14:textId="77777777" w:rsidR="00352F37" w:rsidRPr="00104424" w:rsidRDefault="00352F37" w:rsidP="007667A1">
            <w:pPr>
              <w:spacing w:line="256" w:lineRule="auto"/>
              <w:ind w:left="1" w:right="37"/>
              <w:jc w:val="left"/>
              <w:rPr>
                <w:rFonts w:eastAsia="Arial" w:cs="Times New Roman"/>
                <w:color w:val="000000"/>
              </w:rPr>
            </w:pPr>
            <w:r w:rsidRPr="00104424">
              <w:rPr>
                <w:rFonts w:cs="Times New Roman"/>
              </w:rPr>
              <w:t xml:space="preserve">Customer’s business type or occupation is in a lower risk industry </w:t>
            </w:r>
          </w:p>
          <w:p w14:paraId="6E4E3182" w14:textId="77777777" w:rsidR="00352F37" w:rsidRPr="00104424" w:rsidRDefault="00352F37" w:rsidP="007667A1">
            <w:pPr>
              <w:spacing w:line="256" w:lineRule="auto"/>
              <w:ind w:left="1" w:right="37"/>
              <w:jc w:val="left"/>
              <w:rPr>
                <w:rFonts w:cs="Times New Roman"/>
              </w:rPr>
            </w:pPr>
          </w:p>
          <w:p w14:paraId="6E4E3183" w14:textId="77777777" w:rsidR="00352F37" w:rsidRPr="00104424" w:rsidRDefault="00352F37" w:rsidP="007667A1">
            <w:pPr>
              <w:spacing w:line="256" w:lineRule="auto"/>
              <w:ind w:left="1" w:right="37"/>
              <w:jc w:val="left"/>
              <w:rPr>
                <w:rFonts w:cs="Times New Roman"/>
              </w:rPr>
            </w:pPr>
          </w:p>
          <w:p w14:paraId="6E4E3184" w14:textId="77777777" w:rsidR="00352F37" w:rsidRPr="00104424" w:rsidRDefault="00352F37" w:rsidP="007667A1">
            <w:pPr>
              <w:spacing w:line="256" w:lineRule="auto"/>
              <w:ind w:left="1" w:right="37"/>
              <w:jc w:val="left"/>
              <w:rPr>
                <w:rFonts w:eastAsia="Arial" w:cs="Times New Roman"/>
                <w:color w:val="000000"/>
              </w:rPr>
            </w:pPr>
          </w:p>
        </w:tc>
        <w:tc>
          <w:tcPr>
            <w:tcW w:w="0" w:type="auto"/>
            <w:tcBorders>
              <w:top w:val="single" w:sz="4" w:space="0" w:color="000000"/>
              <w:left w:val="single" w:sz="4" w:space="0" w:color="000000"/>
              <w:bottom w:val="single" w:sz="4" w:space="0" w:color="000000"/>
              <w:right w:val="single" w:sz="4" w:space="0" w:color="000000"/>
            </w:tcBorders>
          </w:tcPr>
          <w:p w14:paraId="6E4E3185"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Customer’s business or occupation is in a higher risk industry (such as involved in one or more of cash intensive business, international exposure or associated with crime typologies) </w:t>
            </w:r>
          </w:p>
          <w:p w14:paraId="6E4E3186" w14:textId="77777777" w:rsidR="00352F37" w:rsidRPr="00104424" w:rsidRDefault="00352F37" w:rsidP="007667A1">
            <w:pPr>
              <w:spacing w:line="256" w:lineRule="auto"/>
              <w:ind w:left="1"/>
              <w:jc w:val="left"/>
              <w:rPr>
                <w:rFonts w:cs="Times New Roman"/>
              </w:rPr>
            </w:pPr>
          </w:p>
          <w:p w14:paraId="6E4E3187"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Customer’s business or occupation is associated with a lower income for a high value deposit without a </w:t>
            </w:r>
            <w:r w:rsidRPr="00104424">
              <w:rPr>
                <w:rFonts w:cs="Times New Roman"/>
              </w:rPr>
              <w:lastRenderedPageBreak/>
              <w:t>confirmed source of funds/wealth (inheritance/ real estate/ beneficiary of insurance)</w:t>
            </w:r>
          </w:p>
        </w:tc>
      </w:tr>
      <w:tr w:rsidR="00352F37" w:rsidRPr="00104424" w14:paraId="6E4E318C" w14:textId="77777777" w:rsidTr="007667A1">
        <w:trPr>
          <w:trHeight w:val="1802"/>
        </w:trPr>
        <w:tc>
          <w:tcPr>
            <w:tcW w:w="0" w:type="auto"/>
            <w:tcBorders>
              <w:top w:val="single" w:sz="4" w:space="0" w:color="000000"/>
              <w:left w:val="single" w:sz="4" w:space="0" w:color="000000"/>
              <w:bottom w:val="single" w:sz="4" w:space="0" w:color="000000"/>
              <w:right w:val="single" w:sz="4" w:space="0" w:color="000000"/>
            </w:tcBorders>
            <w:hideMark/>
          </w:tcPr>
          <w:p w14:paraId="6E4E3189" w14:textId="77777777" w:rsidR="00352F37" w:rsidRPr="00104424" w:rsidRDefault="00352F37" w:rsidP="007667A1">
            <w:pPr>
              <w:spacing w:line="256" w:lineRule="auto"/>
              <w:jc w:val="left"/>
              <w:rPr>
                <w:rFonts w:eastAsia="Arial" w:cs="Times New Roman"/>
                <w:color w:val="000000"/>
              </w:rPr>
            </w:pPr>
            <w:r w:rsidRPr="00104424">
              <w:rPr>
                <w:rFonts w:cs="Times New Roman"/>
              </w:rPr>
              <w:lastRenderedPageBreak/>
              <w:t xml:space="preserve">Depth and duration of relationship with customer </w:t>
            </w:r>
          </w:p>
        </w:tc>
        <w:tc>
          <w:tcPr>
            <w:tcW w:w="0" w:type="auto"/>
            <w:tcBorders>
              <w:top w:val="single" w:sz="4" w:space="0" w:color="000000"/>
              <w:left w:val="single" w:sz="4" w:space="0" w:color="000000"/>
              <w:bottom w:val="single" w:sz="4" w:space="0" w:color="000000"/>
              <w:right w:val="single" w:sz="4" w:space="0" w:color="000000"/>
            </w:tcBorders>
            <w:hideMark/>
          </w:tcPr>
          <w:p w14:paraId="6E4E318A" w14:textId="77777777" w:rsidR="00352F37" w:rsidRPr="00104424" w:rsidRDefault="00352F37" w:rsidP="007667A1">
            <w:pPr>
              <w:spacing w:after="2" w:line="276" w:lineRule="auto"/>
              <w:ind w:left="1"/>
              <w:jc w:val="left"/>
              <w:rPr>
                <w:rFonts w:eastAsia="Arial" w:cs="Times New Roman"/>
                <w:color w:val="000000"/>
              </w:rPr>
            </w:pPr>
            <w:bookmarkStart w:id="101" w:name="_Hlk503821712"/>
            <w:r w:rsidRPr="00104424">
              <w:rPr>
                <w:rFonts w:cs="Times New Roman"/>
              </w:rPr>
              <w:t xml:space="preserve">Customer has a long history with the life </w:t>
            </w:r>
            <w:r>
              <w:rPr>
                <w:rFonts w:cs="Times New Roman"/>
              </w:rPr>
              <w:t>insurer</w:t>
            </w:r>
            <w:r w:rsidRPr="00104424">
              <w:rPr>
                <w:rFonts w:cs="Times New Roman"/>
              </w:rPr>
              <w:t xml:space="preserve"> or its agents and additional information is on file (such as credit underwriting, life insurance underwriting, KYC) </w:t>
            </w:r>
            <w:bookmarkEnd w:id="101"/>
          </w:p>
        </w:tc>
        <w:tc>
          <w:tcPr>
            <w:tcW w:w="0" w:type="auto"/>
            <w:tcBorders>
              <w:top w:val="single" w:sz="4" w:space="0" w:color="000000"/>
              <w:left w:val="single" w:sz="4" w:space="0" w:color="000000"/>
              <w:bottom w:val="single" w:sz="4" w:space="0" w:color="000000"/>
              <w:right w:val="single" w:sz="4" w:space="0" w:color="000000"/>
            </w:tcBorders>
            <w:hideMark/>
          </w:tcPr>
          <w:p w14:paraId="6E4E318B" w14:textId="77777777" w:rsidR="00352F37" w:rsidRPr="00104424" w:rsidRDefault="00352F37" w:rsidP="007667A1">
            <w:pPr>
              <w:spacing w:line="256" w:lineRule="auto"/>
              <w:ind w:left="1" w:right="36"/>
              <w:jc w:val="left"/>
              <w:rPr>
                <w:rFonts w:eastAsia="Arial" w:cs="Times New Roman"/>
                <w:color w:val="000000"/>
              </w:rPr>
            </w:pPr>
            <w:r w:rsidRPr="00104424">
              <w:rPr>
                <w:rFonts w:cs="Times New Roman"/>
              </w:rPr>
              <w:t xml:space="preserve">Customer is new to life </w:t>
            </w:r>
            <w:r>
              <w:rPr>
                <w:rFonts w:cs="Times New Roman"/>
              </w:rPr>
              <w:t>insurer</w:t>
            </w:r>
            <w:r w:rsidRPr="00104424">
              <w:rPr>
                <w:rFonts w:cs="Times New Roman"/>
              </w:rPr>
              <w:t xml:space="preserve"> with little or no experience with the customer. </w:t>
            </w:r>
          </w:p>
        </w:tc>
      </w:tr>
      <w:tr w:rsidR="00352F37" w:rsidRPr="00104424" w14:paraId="6E4E3190"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8D" w14:textId="77777777" w:rsidR="00352F37" w:rsidRPr="00E52BDE" w:rsidRDefault="00352F37" w:rsidP="007667A1">
            <w:pPr>
              <w:spacing w:line="256" w:lineRule="auto"/>
              <w:ind w:right="38"/>
              <w:jc w:val="left"/>
              <w:rPr>
                <w:rFonts w:cs="Times New Roman"/>
              </w:rPr>
            </w:pPr>
            <w:r w:rsidRPr="00104424">
              <w:rPr>
                <w:rFonts w:cs="Times New Roman"/>
              </w:rPr>
              <w:t>Customer only holds accounts with lower risk products and services</w:t>
            </w:r>
          </w:p>
        </w:tc>
        <w:tc>
          <w:tcPr>
            <w:tcW w:w="0" w:type="auto"/>
            <w:tcBorders>
              <w:top w:val="single" w:sz="4" w:space="0" w:color="000000"/>
              <w:left w:val="single" w:sz="4" w:space="0" w:color="000000"/>
              <w:bottom w:val="single" w:sz="4" w:space="0" w:color="000000"/>
              <w:right w:val="single" w:sz="4" w:space="0" w:color="000000"/>
            </w:tcBorders>
            <w:hideMark/>
          </w:tcPr>
          <w:p w14:paraId="6E4E318E"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holds policies or accounts that are registered with the government, e.g., Registered Retirement Savings Plan  </w:t>
            </w:r>
          </w:p>
        </w:tc>
        <w:tc>
          <w:tcPr>
            <w:tcW w:w="0" w:type="auto"/>
            <w:tcBorders>
              <w:top w:val="single" w:sz="4" w:space="0" w:color="000000"/>
              <w:left w:val="single" w:sz="4" w:space="0" w:color="000000"/>
              <w:bottom w:val="single" w:sz="4" w:space="0" w:color="000000"/>
              <w:right w:val="single" w:sz="4" w:space="0" w:color="000000"/>
            </w:tcBorders>
            <w:hideMark/>
          </w:tcPr>
          <w:p w14:paraId="6E4E318F"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Customer only holds non-registered policies or accounts, e.g., investment or bank account with an affiliate</w:t>
            </w:r>
          </w:p>
        </w:tc>
      </w:tr>
      <w:tr w:rsidR="00352F37" w:rsidRPr="00104424" w14:paraId="6E4E3194"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91"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92"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93"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Higher risk example </w:t>
            </w:r>
          </w:p>
        </w:tc>
      </w:tr>
      <w:tr w:rsidR="00352F37" w:rsidRPr="00104424" w14:paraId="6E4E3199" w14:textId="77777777" w:rsidTr="007667A1">
        <w:trPr>
          <w:trHeight w:val="1404"/>
        </w:trPr>
        <w:tc>
          <w:tcPr>
            <w:tcW w:w="0" w:type="auto"/>
            <w:tcBorders>
              <w:top w:val="single" w:sz="4" w:space="0" w:color="000000"/>
              <w:left w:val="single" w:sz="4" w:space="0" w:color="000000"/>
              <w:bottom w:val="single" w:sz="4" w:space="0" w:color="000000"/>
              <w:right w:val="single" w:sz="4" w:space="0" w:color="000000"/>
            </w:tcBorders>
            <w:hideMark/>
          </w:tcPr>
          <w:p w14:paraId="6E4E3195"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Other factors </w:t>
            </w:r>
          </w:p>
        </w:tc>
        <w:tc>
          <w:tcPr>
            <w:tcW w:w="0" w:type="auto"/>
            <w:tcBorders>
              <w:top w:val="single" w:sz="4" w:space="0" w:color="000000"/>
              <w:left w:val="single" w:sz="4" w:space="0" w:color="000000"/>
              <w:bottom w:val="single" w:sz="4" w:space="0" w:color="000000"/>
              <w:right w:val="single" w:sz="4" w:space="0" w:color="000000"/>
            </w:tcBorders>
            <w:hideMark/>
          </w:tcPr>
          <w:p w14:paraId="6E4E3196"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does not have negative news media or media confirms what is known about the customer (such as career confirmation or community engagement) </w:t>
            </w:r>
          </w:p>
        </w:tc>
        <w:tc>
          <w:tcPr>
            <w:tcW w:w="0" w:type="auto"/>
            <w:tcBorders>
              <w:top w:val="single" w:sz="4" w:space="0" w:color="000000"/>
              <w:left w:val="single" w:sz="4" w:space="0" w:color="000000"/>
              <w:bottom w:val="single" w:sz="4" w:space="0" w:color="000000"/>
              <w:right w:val="single" w:sz="4" w:space="0" w:color="000000"/>
            </w:tcBorders>
            <w:hideMark/>
          </w:tcPr>
          <w:p w14:paraId="6E4E3197" w14:textId="77777777" w:rsidR="00352F37" w:rsidRPr="00104424" w:rsidRDefault="00352F37" w:rsidP="007667A1">
            <w:pPr>
              <w:spacing w:after="118" w:line="276" w:lineRule="auto"/>
              <w:ind w:left="1"/>
              <w:jc w:val="left"/>
              <w:rPr>
                <w:rFonts w:eastAsia="Arial" w:cs="Times New Roman"/>
                <w:color w:val="000000"/>
              </w:rPr>
            </w:pPr>
            <w:r w:rsidRPr="00104424">
              <w:rPr>
                <w:rFonts w:cs="Times New Roman"/>
              </w:rPr>
              <w:t xml:space="preserve">Customer has ties to or is on a designated sanctions list. </w:t>
            </w:r>
          </w:p>
          <w:p w14:paraId="6E4E3198" w14:textId="77777777" w:rsidR="00352F37" w:rsidRPr="00104424" w:rsidRDefault="00352F37" w:rsidP="007667A1">
            <w:pPr>
              <w:spacing w:line="256" w:lineRule="auto"/>
              <w:ind w:left="1" w:right="21"/>
              <w:jc w:val="left"/>
              <w:rPr>
                <w:rFonts w:eastAsia="Arial" w:cs="Times New Roman"/>
                <w:color w:val="000000"/>
              </w:rPr>
            </w:pPr>
            <w:r w:rsidRPr="00104424">
              <w:rPr>
                <w:rFonts w:cs="Times New Roman"/>
              </w:rPr>
              <w:t xml:space="preserve">Customer has a history of predicate offences or is associated with negative news. </w:t>
            </w:r>
          </w:p>
        </w:tc>
      </w:tr>
      <w:tr w:rsidR="00352F37" w:rsidRPr="00104424" w14:paraId="6E4E319D" w14:textId="77777777" w:rsidTr="007667A1">
        <w:trPr>
          <w:trHeight w:val="852"/>
        </w:trPr>
        <w:tc>
          <w:tcPr>
            <w:tcW w:w="0" w:type="auto"/>
            <w:tcBorders>
              <w:top w:val="single" w:sz="4" w:space="0" w:color="000000"/>
              <w:left w:val="single" w:sz="4" w:space="0" w:color="000000"/>
              <w:bottom w:val="single" w:sz="4" w:space="0" w:color="000000"/>
              <w:right w:val="single" w:sz="4" w:space="0" w:color="000000"/>
            </w:tcBorders>
            <w:hideMark/>
          </w:tcPr>
          <w:p w14:paraId="6E4E319A" w14:textId="77777777" w:rsidR="00352F37" w:rsidRPr="00104424" w:rsidRDefault="00352F37" w:rsidP="007667A1">
            <w:pPr>
              <w:spacing w:line="256" w:lineRule="auto"/>
              <w:jc w:val="left"/>
              <w:rPr>
                <w:rFonts w:eastAsia="Arial" w:cs="Times New Roman"/>
                <w:color w:val="000000"/>
              </w:rPr>
            </w:pPr>
            <w:r w:rsidRPr="00104424">
              <w:rPr>
                <w:rFonts w:cs="Times New Roman"/>
              </w:rPr>
              <w:t xml:space="preserve">Political exposure </w:t>
            </w:r>
          </w:p>
        </w:tc>
        <w:tc>
          <w:tcPr>
            <w:tcW w:w="0" w:type="auto"/>
            <w:tcBorders>
              <w:top w:val="single" w:sz="4" w:space="0" w:color="000000"/>
              <w:left w:val="single" w:sz="4" w:space="0" w:color="000000"/>
              <w:bottom w:val="single" w:sz="4" w:space="0" w:color="000000"/>
              <w:right w:val="single" w:sz="4" w:space="0" w:color="000000"/>
            </w:tcBorders>
            <w:hideMark/>
          </w:tcPr>
          <w:p w14:paraId="6E4E319B"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does not have any ties to politically exposed persons </w:t>
            </w:r>
          </w:p>
        </w:tc>
        <w:tc>
          <w:tcPr>
            <w:tcW w:w="0" w:type="auto"/>
            <w:tcBorders>
              <w:top w:val="single" w:sz="4" w:space="0" w:color="000000"/>
              <w:left w:val="single" w:sz="4" w:space="0" w:color="000000"/>
              <w:bottom w:val="single" w:sz="4" w:space="0" w:color="000000"/>
              <w:right w:val="single" w:sz="4" w:space="0" w:color="000000"/>
            </w:tcBorders>
            <w:hideMark/>
          </w:tcPr>
          <w:p w14:paraId="6E4E319C" w14:textId="77777777" w:rsidR="00352F37" w:rsidRPr="00104424" w:rsidRDefault="00352F37" w:rsidP="007667A1">
            <w:pPr>
              <w:spacing w:line="256" w:lineRule="auto"/>
              <w:ind w:left="1"/>
              <w:jc w:val="left"/>
              <w:rPr>
                <w:rFonts w:eastAsia="Arial" w:cs="Times New Roman"/>
                <w:color w:val="000000"/>
              </w:rPr>
            </w:pPr>
            <w:r w:rsidRPr="00104424">
              <w:rPr>
                <w:rFonts w:cs="Times New Roman"/>
              </w:rPr>
              <w:t xml:space="preserve">Customer is considered a politically exposed foreign person  </w:t>
            </w:r>
          </w:p>
        </w:tc>
      </w:tr>
    </w:tbl>
    <w:p w14:paraId="6E4E319E" w14:textId="77777777" w:rsidR="00352F37" w:rsidRPr="008167FB" w:rsidRDefault="00352F37" w:rsidP="00352F37">
      <w:pPr>
        <w:pStyle w:val="Para0"/>
        <w:rPr>
          <w:b/>
          <w:i/>
        </w:rPr>
      </w:pPr>
      <w:r w:rsidRPr="008167FB">
        <w:rPr>
          <w:b/>
          <w:i/>
        </w:rPr>
        <w:t>Customer identity</w:t>
      </w:r>
    </w:p>
    <w:p w14:paraId="6E4E319F" w14:textId="77777777" w:rsidR="00352F37" w:rsidRDefault="00352F37" w:rsidP="00352F37">
      <w:pPr>
        <w:pStyle w:val="Para"/>
      </w:pPr>
      <w:r>
        <w:t xml:space="preserve">Customer identity risk refers to the risk that the life insurer is doing business with a customer who is not who they say they are, or is involved with money laundering or terrorist financing. </w:t>
      </w:r>
    </w:p>
    <w:p w14:paraId="6E4E31A0" w14:textId="77777777" w:rsidR="00352F37" w:rsidRDefault="00352F37" w:rsidP="00352F37">
      <w:pPr>
        <w:pStyle w:val="Para"/>
      </w:pPr>
      <w:r>
        <w:t xml:space="preserve">To mitigate customer identity risk, the identity of customers may be ascertained by reviewing customer identification and the customer profile is supplemented with underwriting information or any existing relationships with the customer. </w:t>
      </w:r>
    </w:p>
    <w:p w14:paraId="6E4E31A1" w14:textId="77777777" w:rsidR="00352F37" w:rsidRDefault="00352F37" w:rsidP="00352F37">
      <w:pPr>
        <w:pStyle w:val="Para"/>
      </w:pPr>
      <w:r>
        <w:t xml:space="preserve">The customer profile may include: </w:t>
      </w:r>
    </w:p>
    <w:p w14:paraId="6E4E31A2" w14:textId="77777777" w:rsidR="00352F37" w:rsidRDefault="00352F37" w:rsidP="00352F37">
      <w:pPr>
        <w:pStyle w:val="BulletedList"/>
        <w:numPr>
          <w:ilvl w:val="0"/>
          <w:numId w:val="23"/>
        </w:numPr>
      </w:pPr>
      <w:r>
        <w:t>The length of customer relationship with the insurer;</w:t>
      </w:r>
    </w:p>
    <w:p w14:paraId="6E4E31A3" w14:textId="77777777" w:rsidR="00352F37" w:rsidRDefault="00352F37" w:rsidP="00352F37">
      <w:pPr>
        <w:pStyle w:val="BulletedList"/>
        <w:numPr>
          <w:ilvl w:val="0"/>
          <w:numId w:val="23"/>
        </w:numPr>
      </w:pPr>
      <w:r>
        <w:t xml:space="preserve">History of suspicious or unusual transactions; </w:t>
      </w:r>
    </w:p>
    <w:p w14:paraId="6E4E31A4" w14:textId="77777777" w:rsidR="00352F37" w:rsidRDefault="00352F37" w:rsidP="00352F37">
      <w:pPr>
        <w:pStyle w:val="BulletedList"/>
        <w:numPr>
          <w:ilvl w:val="0"/>
          <w:numId w:val="23"/>
        </w:numPr>
      </w:pPr>
      <w:r>
        <w:t xml:space="preserve">Negative news which may affiliate the customer with allegations of criminal behaviour; and </w:t>
      </w:r>
    </w:p>
    <w:p w14:paraId="6E4E31A5" w14:textId="77777777" w:rsidR="00352F37" w:rsidRDefault="00352F37" w:rsidP="00352F37">
      <w:pPr>
        <w:pStyle w:val="BulletedList"/>
        <w:numPr>
          <w:ilvl w:val="0"/>
          <w:numId w:val="23"/>
        </w:numPr>
      </w:pPr>
      <w:r>
        <w:t xml:space="preserve">Notices or requests from law enforcement. </w:t>
      </w:r>
    </w:p>
    <w:p w14:paraId="6E4E31A6" w14:textId="77777777" w:rsidR="00352F37" w:rsidRPr="003434ED" w:rsidRDefault="00352F37" w:rsidP="00352F37">
      <w:pPr>
        <w:pStyle w:val="Para0"/>
        <w:rPr>
          <w:b/>
          <w:i/>
        </w:rPr>
      </w:pPr>
      <w:r w:rsidRPr="003434ED">
        <w:rPr>
          <w:b/>
          <w:i/>
        </w:rPr>
        <w:t xml:space="preserve">Third party involvement </w:t>
      </w:r>
    </w:p>
    <w:p w14:paraId="6E4E31A7" w14:textId="77777777" w:rsidR="00352F37" w:rsidRDefault="00352F37" w:rsidP="00352F37">
      <w:pPr>
        <w:pStyle w:val="Para"/>
      </w:pPr>
      <w:r>
        <w:t xml:space="preserve">Third party involvement in an insurance product may increase the money laundering and terrorist financing risk, as unknown parties may have an interest in, or control of the policy or account. </w:t>
      </w:r>
    </w:p>
    <w:p w14:paraId="6E4E31A8" w14:textId="77777777" w:rsidR="00352F37" w:rsidRDefault="00352F37" w:rsidP="00352F37">
      <w:pPr>
        <w:pStyle w:val="Para"/>
      </w:pPr>
      <w:r>
        <w:lastRenderedPageBreak/>
        <w:t xml:space="preserve">When an unusual transaction or series of transactions involving a third-party source or recipient of funds is identified, additional information similar to customer due diligence may help mitigate risk. Enhanced due diligence steps can include requesting the relationship to the customer, the involvement with the policy or account, and the source of wealth. Some products do not allow or restrict deposits or payments by third parties. </w:t>
      </w:r>
    </w:p>
    <w:p w14:paraId="6E4E31A9" w14:textId="77777777" w:rsidR="00352F37" w:rsidRPr="008167FB" w:rsidRDefault="00352F37" w:rsidP="00352F37">
      <w:pPr>
        <w:pStyle w:val="Para0"/>
        <w:rPr>
          <w:b/>
          <w:i/>
        </w:rPr>
      </w:pPr>
      <w:r w:rsidRPr="008167FB">
        <w:rPr>
          <w:b/>
          <w:i/>
        </w:rPr>
        <w:t>Third party Red Flags</w:t>
      </w:r>
    </w:p>
    <w:p w14:paraId="6E4E31AA" w14:textId="77777777" w:rsidR="00352F37" w:rsidRDefault="00352F37" w:rsidP="00352F37">
      <w:pPr>
        <w:pStyle w:val="BulletedList"/>
        <w:numPr>
          <w:ilvl w:val="0"/>
          <w:numId w:val="23"/>
        </w:numPr>
      </w:pPr>
      <w:r>
        <w:t>Gatekeepers such as accountants, lawyers, or other professionals holding accounts/policies/contracts at an insurer, acting on behalf of their customers, and where the insurer places unreasonable reliance on the gatekeeper.;</w:t>
      </w:r>
    </w:p>
    <w:p w14:paraId="6E4E31AB" w14:textId="77777777" w:rsidR="00352F37" w:rsidRDefault="00352F37" w:rsidP="00352F37">
      <w:pPr>
        <w:pStyle w:val="BulletedList"/>
        <w:numPr>
          <w:ilvl w:val="0"/>
          <w:numId w:val="23"/>
        </w:numPr>
      </w:pPr>
      <w:r>
        <w:t xml:space="preserve">Customers who assign or otherwise transfer the benefit of a product to an apparently unrelated third party; and </w:t>
      </w:r>
    </w:p>
    <w:p w14:paraId="6E4E31AC" w14:textId="77777777" w:rsidR="00352F37" w:rsidRDefault="00352F37" w:rsidP="00352F37">
      <w:pPr>
        <w:pStyle w:val="BulletedList"/>
        <w:numPr>
          <w:ilvl w:val="0"/>
          <w:numId w:val="23"/>
        </w:numPr>
      </w:pPr>
      <w:r>
        <w:t>Customer changes the beneficiary clause and nominates an apparently unrelated third party.</w:t>
      </w:r>
    </w:p>
    <w:p w14:paraId="6E4E31AD" w14:textId="77777777" w:rsidR="00352F37" w:rsidRDefault="00352F37" w:rsidP="00352F37">
      <w:pPr>
        <w:pStyle w:val="BulletedList"/>
        <w:numPr>
          <w:ilvl w:val="0"/>
          <w:numId w:val="23"/>
        </w:numPr>
      </w:pPr>
      <w:r>
        <w:t>Payments are regularly received from third parties that are no apparent relationship with the policy holder.</w:t>
      </w:r>
    </w:p>
    <w:p w14:paraId="6E4E31AE" w14:textId="77777777" w:rsidR="00352F37" w:rsidRPr="008167FB" w:rsidRDefault="00352F37" w:rsidP="00352F37">
      <w:pPr>
        <w:pStyle w:val="Para0"/>
        <w:rPr>
          <w:b/>
          <w:i/>
        </w:rPr>
      </w:pPr>
      <w:r w:rsidRPr="008167FB">
        <w:rPr>
          <w:b/>
          <w:i/>
        </w:rPr>
        <w:t>Customer’s source of wealth</w:t>
      </w:r>
    </w:p>
    <w:p w14:paraId="6E4E31AF" w14:textId="77777777" w:rsidR="00352F37" w:rsidRDefault="00352F37" w:rsidP="00352F37">
      <w:pPr>
        <w:pStyle w:val="Para"/>
      </w:pPr>
      <w:r>
        <w:t xml:space="preserve">To mitigate the risk of not understanding the customer’s source of wealth, life insurer risk based approach programmes may monitor higher value transactions, and responds to red flags by reviewing for consistency with the customer’s source of wealth in combination with the customer’s: </w:t>
      </w:r>
    </w:p>
    <w:p w14:paraId="6E4E31B0" w14:textId="77777777" w:rsidR="00352F37" w:rsidRDefault="00352F37" w:rsidP="00352F37">
      <w:pPr>
        <w:pStyle w:val="BulletedList"/>
        <w:numPr>
          <w:ilvl w:val="0"/>
          <w:numId w:val="23"/>
        </w:numPr>
      </w:pPr>
      <w:r>
        <w:t>Policies and accounts with the insurer; and</w:t>
      </w:r>
    </w:p>
    <w:p w14:paraId="6E4E31B1" w14:textId="77777777" w:rsidR="00352F37" w:rsidRDefault="00352F37" w:rsidP="00352F37">
      <w:pPr>
        <w:pStyle w:val="BulletedList"/>
        <w:numPr>
          <w:ilvl w:val="0"/>
          <w:numId w:val="23"/>
        </w:numPr>
      </w:pPr>
      <w:r>
        <w:t xml:space="preserve">Business type, occupation and industry, geographic residency and political exposure. </w:t>
      </w:r>
    </w:p>
    <w:p w14:paraId="6E4E31B2" w14:textId="77777777" w:rsidR="00352F37" w:rsidRPr="008167FB" w:rsidRDefault="00352F37" w:rsidP="00352F37">
      <w:pPr>
        <w:pStyle w:val="Para0"/>
        <w:rPr>
          <w:b/>
          <w:i/>
        </w:rPr>
      </w:pPr>
      <w:r w:rsidRPr="008167FB">
        <w:rPr>
          <w:b/>
          <w:i/>
        </w:rPr>
        <w:t>Geographic risk</w:t>
      </w:r>
    </w:p>
    <w:p w14:paraId="6E4E31B3" w14:textId="77777777" w:rsidR="00352F37" w:rsidRDefault="00352F37" w:rsidP="00352F37">
      <w:pPr>
        <w:pStyle w:val="Para"/>
      </w:pPr>
      <w:r>
        <w:t xml:space="preserve">A customer’s geographic location or connections may indicate higher risk for money laundering or terrorist financing activities. To mitigate risk, controls are recommended based on domestic and international geographic risk factors. </w:t>
      </w:r>
    </w:p>
    <w:p w14:paraId="6E4E31B4" w14:textId="77777777" w:rsidR="00352F37" w:rsidRPr="00D424A2" w:rsidRDefault="00352F37" w:rsidP="00352F37">
      <w:pPr>
        <w:pStyle w:val="Para0"/>
        <w:rPr>
          <w:b/>
          <w:i/>
        </w:rPr>
      </w:pPr>
      <w:r w:rsidRPr="00D424A2">
        <w:rPr>
          <w:b/>
          <w:i/>
        </w:rPr>
        <w:t xml:space="preserve">Domestic geographic risk factors </w:t>
      </w:r>
    </w:p>
    <w:p w14:paraId="6E4E31B5" w14:textId="77777777" w:rsidR="00352F37" w:rsidRDefault="00352F37" w:rsidP="00352F37">
      <w:pPr>
        <w:pStyle w:val="Para"/>
      </w:pPr>
      <w:r>
        <w:t>Where data is available, the assessment of higher domestic geographic risk based on data from internal insurer historical case experiences or government data based on crimes applicable to money laundering and other predicate offenses by region can be used as a risk factor or within monitoring programme.</w:t>
      </w:r>
    </w:p>
    <w:tbl>
      <w:tblPr>
        <w:tblStyle w:val="TableGrid0"/>
        <w:tblW w:w="0" w:type="auto"/>
        <w:tblInd w:w="-42" w:type="dxa"/>
        <w:tblCellMar>
          <w:top w:w="29" w:type="dxa"/>
          <w:left w:w="42" w:type="dxa"/>
          <w:right w:w="104" w:type="dxa"/>
        </w:tblCellMar>
        <w:tblLook w:val="04A0" w:firstRow="1" w:lastRow="0" w:firstColumn="1" w:lastColumn="0" w:noHBand="0" w:noVBand="1"/>
      </w:tblPr>
      <w:tblGrid>
        <w:gridCol w:w="2169"/>
        <w:gridCol w:w="3791"/>
        <w:gridCol w:w="3527"/>
      </w:tblGrid>
      <w:tr w:rsidR="00352F37" w:rsidRPr="00104424" w14:paraId="6E4E31B9"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B6" w14:textId="77777777" w:rsidR="00352F37" w:rsidRPr="008167FB" w:rsidRDefault="00352F37" w:rsidP="007667A1">
            <w:pPr>
              <w:pStyle w:val="NumberedList"/>
              <w:numPr>
                <w:ilvl w:val="0"/>
                <w:numId w:val="0"/>
              </w:numPr>
              <w:spacing w:line="256" w:lineRule="auto"/>
              <w:ind w:left="42"/>
              <w:jc w:val="left"/>
              <w:rPr>
                <w:rFonts w:eastAsia="Arial"/>
                <w:color w:val="000000"/>
              </w:rPr>
            </w:pPr>
            <w:r w:rsidRPr="008167FB">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B7"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B8"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BD" w14:textId="77777777" w:rsidTr="007667A1">
        <w:trPr>
          <w:trHeight w:val="1186"/>
        </w:trPr>
        <w:tc>
          <w:tcPr>
            <w:tcW w:w="0" w:type="auto"/>
            <w:tcBorders>
              <w:top w:val="single" w:sz="4" w:space="0" w:color="000000"/>
              <w:left w:val="single" w:sz="4" w:space="0" w:color="000000"/>
              <w:bottom w:val="single" w:sz="4" w:space="0" w:color="000000"/>
              <w:right w:val="single" w:sz="4" w:space="0" w:color="000000"/>
            </w:tcBorders>
            <w:hideMark/>
          </w:tcPr>
          <w:p w14:paraId="6E4E31BA" w14:textId="77777777" w:rsidR="00352F37" w:rsidRPr="00104424" w:rsidRDefault="00352F37" w:rsidP="007667A1">
            <w:pPr>
              <w:spacing w:line="256" w:lineRule="auto"/>
              <w:rPr>
                <w:rFonts w:eastAsia="Arial" w:cs="Times New Roman"/>
                <w:color w:val="000000"/>
              </w:rPr>
            </w:pPr>
            <w:r w:rsidRPr="00104424">
              <w:rPr>
                <w:rFonts w:cs="Times New Roman"/>
              </w:rPr>
              <w:t xml:space="preserve">Higher crime regions  </w:t>
            </w:r>
          </w:p>
        </w:tc>
        <w:tc>
          <w:tcPr>
            <w:tcW w:w="0" w:type="auto"/>
            <w:tcBorders>
              <w:top w:val="single" w:sz="4" w:space="0" w:color="000000"/>
              <w:left w:val="single" w:sz="4" w:space="0" w:color="000000"/>
              <w:bottom w:val="single" w:sz="4" w:space="0" w:color="000000"/>
              <w:right w:val="single" w:sz="4" w:space="0" w:color="000000"/>
            </w:tcBorders>
            <w:hideMark/>
          </w:tcPr>
          <w:p w14:paraId="6E4E31BB"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does not reside in a region with higher frequency and severity of crimes with money laundering risk </w:t>
            </w:r>
          </w:p>
        </w:tc>
        <w:tc>
          <w:tcPr>
            <w:tcW w:w="0" w:type="auto"/>
            <w:tcBorders>
              <w:top w:val="single" w:sz="4" w:space="0" w:color="000000"/>
              <w:left w:val="single" w:sz="4" w:space="0" w:color="000000"/>
              <w:bottom w:val="single" w:sz="4" w:space="0" w:color="000000"/>
              <w:right w:val="single" w:sz="4" w:space="0" w:color="000000"/>
            </w:tcBorders>
            <w:hideMark/>
          </w:tcPr>
          <w:p w14:paraId="6E4E31BC"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resides in a region with high frequency and severity of crimes with money laundering risk </w:t>
            </w:r>
          </w:p>
        </w:tc>
      </w:tr>
      <w:tr w:rsidR="00352F37" w:rsidRPr="00104424" w14:paraId="6E4E31C1"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BE" w14:textId="77777777" w:rsidR="00352F37" w:rsidRPr="00104424" w:rsidRDefault="00352F37" w:rsidP="007667A1">
            <w:pPr>
              <w:spacing w:line="256" w:lineRule="auto"/>
              <w:rPr>
                <w:rFonts w:eastAsia="Arial" w:cs="Times New Roman"/>
                <w:color w:val="000000"/>
              </w:rPr>
            </w:pPr>
            <w:r w:rsidRPr="00104424">
              <w:rPr>
                <w:rFonts w:cs="Times New Roman"/>
              </w:rPr>
              <w:lastRenderedPageBreak/>
              <w:t xml:space="preserve">History of high risk activity or fraud </w:t>
            </w:r>
          </w:p>
        </w:tc>
        <w:tc>
          <w:tcPr>
            <w:tcW w:w="0" w:type="auto"/>
            <w:tcBorders>
              <w:top w:val="single" w:sz="4" w:space="0" w:color="000000"/>
              <w:left w:val="single" w:sz="4" w:space="0" w:color="000000"/>
              <w:bottom w:val="single" w:sz="4" w:space="0" w:color="000000"/>
              <w:right w:val="single" w:sz="4" w:space="0" w:color="000000"/>
            </w:tcBorders>
            <w:hideMark/>
          </w:tcPr>
          <w:p w14:paraId="6E4E31BF"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does not reside in a region that experiences a higher incidence of high risk activity or fraud </w:t>
            </w:r>
          </w:p>
        </w:tc>
        <w:tc>
          <w:tcPr>
            <w:tcW w:w="0" w:type="auto"/>
            <w:tcBorders>
              <w:top w:val="single" w:sz="4" w:space="0" w:color="000000"/>
              <w:left w:val="single" w:sz="4" w:space="0" w:color="000000"/>
              <w:bottom w:val="single" w:sz="4" w:space="0" w:color="000000"/>
              <w:right w:val="single" w:sz="4" w:space="0" w:color="000000"/>
            </w:tcBorders>
            <w:hideMark/>
          </w:tcPr>
          <w:p w14:paraId="6E4E31C0"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resides in a region that experiences a higher incidence of high risk activity or fraud </w:t>
            </w:r>
          </w:p>
        </w:tc>
      </w:tr>
    </w:tbl>
    <w:p w14:paraId="6E4E31C2" w14:textId="77777777" w:rsidR="00352F37" w:rsidRPr="00D424A2" w:rsidRDefault="00352F37" w:rsidP="00352F37">
      <w:pPr>
        <w:pStyle w:val="Para0"/>
        <w:rPr>
          <w:b/>
          <w:i/>
        </w:rPr>
      </w:pPr>
      <w:r w:rsidRPr="00D424A2">
        <w:rPr>
          <w:b/>
          <w:i/>
        </w:rPr>
        <w:t>International geographic risk factors</w:t>
      </w:r>
    </w:p>
    <w:p w14:paraId="6E4E31C3" w14:textId="39318782" w:rsidR="00352F37" w:rsidRDefault="00352F37" w:rsidP="00352F37">
      <w:pPr>
        <w:pStyle w:val="Para"/>
      </w:pPr>
      <w:r>
        <w:t>Customer risk is higher among customers with connections outside country, especially connections to higher risk countries (</w:t>
      </w:r>
      <w:r w:rsidRPr="00011E74">
        <w:t>see para 107</w:t>
      </w:r>
      <w:proofErr w:type="gramStart"/>
      <w:r>
        <w:t>) .</w:t>
      </w:r>
      <w:proofErr w:type="gramEnd"/>
      <w:r>
        <w:t xml:space="preserve">  </w:t>
      </w:r>
    </w:p>
    <w:tbl>
      <w:tblPr>
        <w:tblStyle w:val="TableGrid0"/>
        <w:tblW w:w="0" w:type="auto"/>
        <w:tblInd w:w="-42" w:type="dxa"/>
        <w:tblCellMar>
          <w:top w:w="29" w:type="dxa"/>
          <w:left w:w="42" w:type="dxa"/>
        </w:tblCellMar>
        <w:tblLook w:val="04A0" w:firstRow="1" w:lastRow="0" w:firstColumn="1" w:lastColumn="0" w:noHBand="0" w:noVBand="1"/>
      </w:tblPr>
      <w:tblGrid>
        <w:gridCol w:w="2213"/>
        <w:gridCol w:w="3794"/>
        <w:gridCol w:w="3381"/>
      </w:tblGrid>
      <w:tr w:rsidR="00352F37" w:rsidRPr="00104424" w14:paraId="6E4E31C7" w14:textId="77777777" w:rsidTr="007667A1">
        <w:trPr>
          <w:trHeight w:val="514"/>
        </w:trPr>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C4" w14:textId="77777777" w:rsidR="00352F37" w:rsidRPr="00104424" w:rsidRDefault="00352F37" w:rsidP="007667A1">
            <w:pPr>
              <w:spacing w:line="256" w:lineRule="auto"/>
              <w:rPr>
                <w:rFonts w:eastAsia="Arial" w:cs="Times New Roman"/>
                <w:color w:val="000000"/>
              </w:rPr>
            </w:pPr>
            <w:r w:rsidRPr="00104424">
              <w:rPr>
                <w:rFonts w:cs="Times New Roman"/>
              </w:rPr>
              <w:t xml:space="preserve">Attribute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C5"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Lower risk example </w:t>
            </w:r>
          </w:p>
        </w:tc>
        <w:tc>
          <w:tcPr>
            <w:tcW w:w="0" w:type="auto"/>
            <w:tcBorders>
              <w:top w:val="single" w:sz="4" w:space="0" w:color="000000"/>
              <w:left w:val="single" w:sz="4" w:space="0" w:color="000000"/>
              <w:bottom w:val="single" w:sz="4" w:space="0" w:color="000000"/>
              <w:right w:val="single" w:sz="4" w:space="0" w:color="000000"/>
            </w:tcBorders>
            <w:shd w:val="clear" w:color="auto" w:fill="DADADB"/>
            <w:hideMark/>
          </w:tcPr>
          <w:p w14:paraId="6E4E31C6"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Higher risk example </w:t>
            </w:r>
          </w:p>
        </w:tc>
      </w:tr>
      <w:tr w:rsidR="00352F37" w:rsidRPr="00104424" w14:paraId="6E4E31CB" w14:textId="77777777" w:rsidTr="007667A1">
        <w:trPr>
          <w:trHeight w:val="869"/>
        </w:trPr>
        <w:tc>
          <w:tcPr>
            <w:tcW w:w="0" w:type="auto"/>
            <w:tcBorders>
              <w:top w:val="single" w:sz="4" w:space="0" w:color="000000"/>
              <w:left w:val="single" w:sz="4" w:space="0" w:color="000000"/>
              <w:bottom w:val="single" w:sz="4" w:space="0" w:color="000000"/>
              <w:right w:val="single" w:sz="4" w:space="0" w:color="000000"/>
            </w:tcBorders>
            <w:hideMark/>
          </w:tcPr>
          <w:p w14:paraId="6E4E31C8" w14:textId="77777777" w:rsidR="00352F37" w:rsidRPr="00104424" w:rsidRDefault="00352F37" w:rsidP="007667A1">
            <w:pPr>
              <w:spacing w:line="256" w:lineRule="auto"/>
              <w:rPr>
                <w:rFonts w:eastAsia="Arial" w:cs="Times New Roman"/>
                <w:color w:val="000000"/>
              </w:rPr>
            </w:pPr>
            <w:r w:rsidRPr="00104424">
              <w:rPr>
                <w:rFonts w:cs="Times New Roman"/>
              </w:rPr>
              <w:t xml:space="preserve">Foreign tax or physical residency of customer </w:t>
            </w:r>
          </w:p>
        </w:tc>
        <w:tc>
          <w:tcPr>
            <w:tcW w:w="0" w:type="auto"/>
            <w:tcBorders>
              <w:top w:val="single" w:sz="4" w:space="0" w:color="000000"/>
              <w:left w:val="single" w:sz="4" w:space="0" w:color="000000"/>
              <w:bottom w:val="single" w:sz="4" w:space="0" w:color="000000"/>
              <w:right w:val="single" w:sz="4" w:space="0" w:color="000000"/>
            </w:tcBorders>
            <w:hideMark/>
          </w:tcPr>
          <w:p w14:paraId="6E4E31C9"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Countries risk ranked as low by the Life </w:t>
            </w:r>
            <w:r>
              <w:rPr>
                <w:rFonts w:cs="Times New Roman"/>
              </w:rPr>
              <w:t>Insurer</w:t>
            </w:r>
            <w:r w:rsidRPr="00104424">
              <w:rPr>
                <w:rFonts w:cs="Times New Roman"/>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14:paraId="6E4E31CA"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Countries risk ranked as high by the Life </w:t>
            </w:r>
            <w:r>
              <w:rPr>
                <w:rFonts w:cs="Times New Roman"/>
              </w:rPr>
              <w:t>Insurer</w:t>
            </w:r>
          </w:p>
        </w:tc>
      </w:tr>
      <w:tr w:rsidR="00352F37" w:rsidRPr="00104424" w14:paraId="6E4E31CF" w14:textId="77777777" w:rsidTr="007667A1">
        <w:trPr>
          <w:trHeight w:val="1169"/>
        </w:trPr>
        <w:tc>
          <w:tcPr>
            <w:tcW w:w="0" w:type="auto"/>
            <w:tcBorders>
              <w:top w:val="single" w:sz="4" w:space="0" w:color="000000"/>
              <w:left w:val="single" w:sz="4" w:space="0" w:color="000000"/>
              <w:bottom w:val="single" w:sz="4" w:space="0" w:color="000000"/>
              <w:right w:val="single" w:sz="4" w:space="0" w:color="000000"/>
            </w:tcBorders>
            <w:hideMark/>
          </w:tcPr>
          <w:p w14:paraId="6E4E31CC" w14:textId="77777777" w:rsidR="00352F37" w:rsidRPr="00104424" w:rsidRDefault="00352F37" w:rsidP="007667A1">
            <w:pPr>
              <w:spacing w:line="256" w:lineRule="auto"/>
              <w:rPr>
                <w:rFonts w:eastAsia="Arial" w:cs="Times New Roman"/>
                <w:color w:val="000000"/>
              </w:rPr>
            </w:pPr>
            <w:r w:rsidRPr="00104424">
              <w:rPr>
                <w:rFonts w:cs="Times New Roman"/>
              </w:rPr>
              <w:t xml:space="preserve">Foreign ties or transactions </w:t>
            </w:r>
          </w:p>
        </w:tc>
        <w:tc>
          <w:tcPr>
            <w:tcW w:w="0" w:type="auto"/>
            <w:tcBorders>
              <w:top w:val="single" w:sz="4" w:space="0" w:color="000000"/>
              <w:left w:val="single" w:sz="4" w:space="0" w:color="000000"/>
              <w:bottom w:val="single" w:sz="4" w:space="0" w:color="000000"/>
              <w:right w:val="single" w:sz="4" w:space="0" w:color="000000"/>
            </w:tcBorders>
            <w:hideMark/>
          </w:tcPr>
          <w:p w14:paraId="6E4E31CD" w14:textId="77777777" w:rsidR="00352F37" w:rsidRPr="00104424" w:rsidRDefault="00352F37" w:rsidP="007667A1">
            <w:pPr>
              <w:spacing w:line="256" w:lineRule="auto"/>
              <w:ind w:left="1"/>
              <w:rPr>
                <w:rFonts w:eastAsia="Arial" w:cs="Times New Roman"/>
                <w:color w:val="000000"/>
              </w:rPr>
            </w:pPr>
            <w:r w:rsidRPr="00104424">
              <w:rPr>
                <w:rFonts w:cs="Times New Roman"/>
              </w:rPr>
              <w:t>Customer does not have any indicators of foreign residency or transactions outside of country</w:t>
            </w:r>
          </w:p>
        </w:tc>
        <w:tc>
          <w:tcPr>
            <w:tcW w:w="0" w:type="auto"/>
            <w:tcBorders>
              <w:top w:val="single" w:sz="4" w:space="0" w:color="000000"/>
              <w:left w:val="single" w:sz="4" w:space="0" w:color="000000"/>
              <w:bottom w:val="single" w:sz="4" w:space="0" w:color="000000"/>
              <w:right w:val="single" w:sz="4" w:space="0" w:color="000000"/>
            </w:tcBorders>
            <w:hideMark/>
          </w:tcPr>
          <w:p w14:paraId="6E4E31CE" w14:textId="77777777" w:rsidR="00352F37" w:rsidRPr="00104424" w:rsidRDefault="00352F37" w:rsidP="007667A1">
            <w:pPr>
              <w:spacing w:line="256" w:lineRule="auto"/>
              <w:ind w:left="1"/>
              <w:rPr>
                <w:rFonts w:eastAsia="Arial" w:cs="Times New Roman"/>
                <w:color w:val="000000"/>
              </w:rPr>
            </w:pPr>
            <w:r w:rsidRPr="00104424">
              <w:rPr>
                <w:rFonts w:cs="Times New Roman"/>
              </w:rPr>
              <w:t xml:space="preserve">Customer has requested or performed transactions with ties to high risk countries </w:t>
            </w:r>
          </w:p>
        </w:tc>
      </w:tr>
    </w:tbl>
    <w:p w14:paraId="6E4E31D0" w14:textId="77777777" w:rsidR="00352F37" w:rsidRPr="008167FB" w:rsidRDefault="00352F37" w:rsidP="00352F37">
      <w:pPr>
        <w:pStyle w:val="Para0"/>
        <w:rPr>
          <w:b/>
          <w:i/>
        </w:rPr>
      </w:pPr>
      <w:r w:rsidRPr="008167FB">
        <w:rPr>
          <w:b/>
          <w:i/>
        </w:rPr>
        <w:t>Geographic Risk Red Flags</w:t>
      </w:r>
    </w:p>
    <w:p w14:paraId="6E4E31D1" w14:textId="77777777" w:rsidR="00352F37" w:rsidRDefault="00352F37" w:rsidP="00352F37">
      <w:pPr>
        <w:pStyle w:val="BulletedList"/>
        <w:numPr>
          <w:ilvl w:val="0"/>
          <w:numId w:val="23"/>
        </w:numPr>
      </w:pPr>
      <w:r>
        <w:t xml:space="preserve">Geographic risk: significant and unexplained geographic distance between residence or business location of the customer and the location where the product sale took place (or the location of the insurer’s representative). </w:t>
      </w:r>
    </w:p>
    <w:p w14:paraId="6E4E31D2" w14:textId="77777777" w:rsidR="00352F37" w:rsidRDefault="00352F37" w:rsidP="00352F37">
      <w:pPr>
        <w:pStyle w:val="BulletedList"/>
        <w:numPr>
          <w:ilvl w:val="0"/>
          <w:numId w:val="23"/>
        </w:numPr>
      </w:pPr>
      <w:r>
        <w:t>Has the customer provided certification of their domestic tax residency that is supported by other information that the insurer or intermediary knows about the customer?</w:t>
      </w:r>
    </w:p>
    <w:p w14:paraId="6E4E31D3" w14:textId="77777777" w:rsidR="00352F37" w:rsidRDefault="00352F37" w:rsidP="00352F37">
      <w:pPr>
        <w:pStyle w:val="BulletedList"/>
        <w:numPr>
          <w:ilvl w:val="0"/>
          <w:numId w:val="23"/>
        </w:numPr>
      </w:pPr>
      <w:r>
        <w:t xml:space="preserve">What is the tax residency of the customer </w:t>
      </w:r>
    </w:p>
    <w:p w14:paraId="6E4E31D4" w14:textId="77777777" w:rsidR="00352F37" w:rsidRDefault="00352F37" w:rsidP="00352F37">
      <w:pPr>
        <w:pStyle w:val="BulletedList"/>
        <w:numPr>
          <w:ilvl w:val="0"/>
          <w:numId w:val="23"/>
        </w:numPr>
      </w:pPr>
      <w:r>
        <w:t>Are all communications sent internationally without foreign residency ties</w:t>
      </w:r>
    </w:p>
    <w:p w14:paraId="6E4E31D5" w14:textId="77777777" w:rsidR="00352F37" w:rsidRDefault="00352F37" w:rsidP="00352F37">
      <w:pPr>
        <w:pStyle w:val="BulletedList"/>
        <w:numPr>
          <w:ilvl w:val="0"/>
          <w:numId w:val="23"/>
        </w:numPr>
      </w:pPr>
      <w:r>
        <w:t>Does the source of wealth, source of funds or other known relationship include ties to higher risk countries?</w:t>
      </w:r>
    </w:p>
    <w:p w14:paraId="6E4E31D6" w14:textId="749E1679" w:rsidR="00352F37" w:rsidRDefault="00352F37" w:rsidP="00352F37">
      <w:pPr>
        <w:pStyle w:val="BulletedList"/>
        <w:numPr>
          <w:ilvl w:val="0"/>
          <w:numId w:val="23"/>
        </w:numPr>
      </w:pPr>
      <w:r>
        <w:t>Death claim payments to a beneficiary residing in a high-risk country due to terrorism.</w:t>
      </w:r>
    </w:p>
    <w:p w14:paraId="6E4E31D7" w14:textId="77777777" w:rsidR="00352F37" w:rsidRDefault="00352F37" w:rsidP="00352F37">
      <w:pPr>
        <w:pStyle w:val="BulletedList"/>
        <w:numPr>
          <w:ilvl w:val="0"/>
          <w:numId w:val="23"/>
        </w:numPr>
      </w:pPr>
      <w:r>
        <w:t>Premiums and/or settlements are paid through accounts held with financial institutions established in jurisdictions associated with higher ML/TF risk; and</w:t>
      </w:r>
    </w:p>
    <w:p w14:paraId="6E4E31D8" w14:textId="77777777" w:rsidR="00352F37" w:rsidRDefault="00352F37" w:rsidP="00352F37">
      <w:pPr>
        <w:pStyle w:val="BulletedList"/>
        <w:numPr>
          <w:ilvl w:val="0"/>
          <w:numId w:val="23"/>
        </w:numPr>
      </w:pPr>
      <w:r>
        <w:t>Intermediary is based in, or associated with, jurisdictions associated with higher ML/TF risk</w:t>
      </w:r>
    </w:p>
    <w:p w14:paraId="6E4E31D9" w14:textId="77777777" w:rsidR="00352F37" w:rsidRPr="008167FB" w:rsidRDefault="00352F37" w:rsidP="00352F37">
      <w:pPr>
        <w:pStyle w:val="Para0"/>
        <w:rPr>
          <w:b/>
          <w:i/>
        </w:rPr>
      </w:pPr>
      <w:r w:rsidRPr="008167FB">
        <w:rPr>
          <w:b/>
          <w:i/>
        </w:rPr>
        <w:t>Red Flags for customer risk factors:</w:t>
      </w:r>
    </w:p>
    <w:p w14:paraId="6E4E31DA" w14:textId="77777777" w:rsidR="00352F37" w:rsidRDefault="00352F37" w:rsidP="00352F37">
      <w:pPr>
        <w:pStyle w:val="BulletedList"/>
        <w:numPr>
          <w:ilvl w:val="0"/>
          <w:numId w:val="23"/>
        </w:numPr>
      </w:pPr>
      <w:r>
        <w:t xml:space="preserve">Customers that are legal entities whose structure makes it difficult to identify the ultimate beneficial owner or controlling interests. (Note: This can happen at inception or, subsequently, an individually owned insurance policy can be assigned to a legal entity. KYC/CDD processes should apply at both stages.) </w:t>
      </w:r>
    </w:p>
    <w:p w14:paraId="6E4E31DB" w14:textId="77777777" w:rsidR="00352F37" w:rsidRDefault="00352F37" w:rsidP="00352F37">
      <w:pPr>
        <w:pStyle w:val="BulletedList"/>
        <w:numPr>
          <w:ilvl w:val="0"/>
          <w:numId w:val="23"/>
        </w:numPr>
      </w:pPr>
      <w:r>
        <w:lastRenderedPageBreak/>
        <w:t>Policy holder and/or the beneficiary of the contract are companies whose structure makes it difficult to identify the beneficial owner, e.g., multiple layers or because the entity’s ownership structure crosses jurisdictions;</w:t>
      </w:r>
    </w:p>
    <w:p w14:paraId="6E4E31DC" w14:textId="77777777" w:rsidR="00352F37" w:rsidRDefault="00352F37" w:rsidP="00352F37">
      <w:pPr>
        <w:pStyle w:val="BulletedList"/>
        <w:numPr>
          <w:ilvl w:val="0"/>
          <w:numId w:val="23"/>
        </w:numPr>
      </w:pPr>
      <w:r>
        <w:t>Policy holder and/or the beneficiary of the contract are companies with nominee shareholders and/or shares in bearer form;</w:t>
      </w:r>
    </w:p>
    <w:p w14:paraId="6E4E31DD" w14:textId="77777777" w:rsidR="00352F37" w:rsidRDefault="00352F37" w:rsidP="00352F37">
      <w:pPr>
        <w:pStyle w:val="BulletedList"/>
        <w:numPr>
          <w:ilvl w:val="0"/>
          <w:numId w:val="23"/>
        </w:numPr>
      </w:pPr>
      <w:r>
        <w:t>Occupation with a low average income and the policy has high ongoing deposits</w:t>
      </w:r>
    </w:p>
    <w:p w14:paraId="6E4E31DE" w14:textId="77777777" w:rsidR="00352F37" w:rsidRDefault="00352F37" w:rsidP="00352F37">
      <w:pPr>
        <w:pStyle w:val="BulletedList"/>
        <w:numPr>
          <w:ilvl w:val="0"/>
          <w:numId w:val="23"/>
        </w:numPr>
      </w:pPr>
      <w:r>
        <w:t>A history within an occupation with a higher risk for ML/TF due to local crime typologies, high access to cash based businesses or international exposure</w:t>
      </w:r>
    </w:p>
    <w:p w14:paraId="6E4E31DF" w14:textId="77777777" w:rsidR="00352F37" w:rsidRDefault="00352F37" w:rsidP="00352F37">
      <w:pPr>
        <w:pStyle w:val="BulletedList"/>
        <w:numPr>
          <w:ilvl w:val="0"/>
          <w:numId w:val="23"/>
        </w:numPr>
      </w:pPr>
      <w:r>
        <w:t xml:space="preserve">Customers who are reluctant to provide identifying information when purchasing a product, or who provides minimal or seemingly fictitious information.  </w:t>
      </w:r>
    </w:p>
    <w:p w14:paraId="6E4E31E0" w14:textId="77777777" w:rsidR="00352F37" w:rsidRDefault="00352F37" w:rsidP="00352F37">
      <w:pPr>
        <w:pStyle w:val="BulletedList"/>
        <w:numPr>
          <w:ilvl w:val="0"/>
          <w:numId w:val="23"/>
        </w:numPr>
      </w:pPr>
      <w:r>
        <w:t>Customer transfers the contract to another insurer; (low risk after a long relationship, higher risk if after a short period of time, especially with high fees)</w:t>
      </w:r>
    </w:p>
    <w:p w14:paraId="6E4E31E1" w14:textId="77777777" w:rsidR="00352F37" w:rsidRDefault="00352F37" w:rsidP="00352F37">
      <w:pPr>
        <w:pStyle w:val="BulletedList"/>
        <w:numPr>
          <w:ilvl w:val="0"/>
          <w:numId w:val="23"/>
        </w:numPr>
      </w:pPr>
      <w:r>
        <w:t>Insurer is made aware of a change in beneficiary only when the claim is made; and</w:t>
      </w:r>
      <w:r w:rsidRPr="001E6FD5">
        <w:t xml:space="preserve"> </w:t>
      </w:r>
      <w:r>
        <w:t>Customer incurs a high cost by seeking early termination of a product; and</w:t>
      </w:r>
    </w:p>
    <w:p w14:paraId="6E4E31E2" w14:textId="77777777" w:rsidR="00352F37" w:rsidRDefault="00352F37" w:rsidP="00352F37">
      <w:pPr>
        <w:pStyle w:val="BulletedList"/>
        <w:numPr>
          <w:ilvl w:val="0"/>
          <w:numId w:val="23"/>
        </w:numPr>
      </w:pPr>
      <w:r>
        <w:t>Customer’s request to change or increase the sum insured and/or the premium payment are unusual or excessive.</w:t>
      </w:r>
    </w:p>
    <w:p w14:paraId="6E4E31E3" w14:textId="77777777" w:rsidR="00352F37" w:rsidRDefault="00352F37" w:rsidP="00352F37">
      <w:pPr>
        <w:pStyle w:val="BulletedList"/>
        <w:numPr>
          <w:ilvl w:val="0"/>
          <w:numId w:val="0"/>
        </w:numPr>
        <w:ind w:left="1361"/>
      </w:pPr>
    </w:p>
    <w:p w14:paraId="6E4E31E4" w14:textId="77777777" w:rsidR="00352F37" w:rsidRDefault="00352F37" w:rsidP="00352F37">
      <w:pPr>
        <w:tabs>
          <w:tab w:val="clear" w:pos="850"/>
          <w:tab w:val="clear" w:pos="1191"/>
          <w:tab w:val="clear" w:pos="1531"/>
        </w:tabs>
        <w:jc w:val="left"/>
        <w:rPr>
          <w:rFonts w:eastAsia="SimSun"/>
        </w:rPr>
      </w:pPr>
      <w:r>
        <w:br w:type="page"/>
      </w:r>
    </w:p>
    <w:p w14:paraId="6E4E31E5" w14:textId="77777777" w:rsidR="00352F37" w:rsidRPr="004E668C" w:rsidRDefault="00352F37" w:rsidP="00352F37">
      <w:pPr>
        <w:pStyle w:val="Heading7"/>
        <w:numPr>
          <w:ilvl w:val="6"/>
          <w:numId w:val="44"/>
        </w:numPr>
        <w:ind w:left="680" w:right="680" w:firstLine="289"/>
      </w:pPr>
      <w:bookmarkStart w:id="102" w:name="_Toc517968076"/>
      <w:r w:rsidRPr="004E668C">
        <w:lastRenderedPageBreak/>
        <w:t>EXAMPLES OF DIFFERENT SUPERVISORY PRACTICES F</w:t>
      </w:r>
      <w:r>
        <w:t>OR THE IMPLEMENTATION OF THE RBA</w:t>
      </w:r>
      <w:bookmarkEnd w:id="102"/>
    </w:p>
    <w:p w14:paraId="6E4E31E6" w14:textId="77777777" w:rsidR="00352F37" w:rsidRPr="004E668C" w:rsidRDefault="00352F37" w:rsidP="00352F37">
      <w:pPr>
        <w:tabs>
          <w:tab w:val="clear" w:pos="850"/>
          <w:tab w:val="clear" w:pos="1191"/>
          <w:tab w:val="clear" w:pos="1531"/>
        </w:tabs>
        <w:spacing w:before="120" w:after="120"/>
        <w:ind w:left="680" w:right="680"/>
        <w:rPr>
          <w:rFonts w:eastAsia="SimSun"/>
          <w:b/>
          <w:smallCaps/>
          <w:szCs w:val="22"/>
        </w:rPr>
      </w:pPr>
      <w:r w:rsidRPr="004E668C">
        <w:rPr>
          <w:rFonts w:eastAsia="SimSun"/>
          <w:b/>
          <w:smallCaps/>
          <w:szCs w:val="22"/>
        </w:rPr>
        <w:t>Bermuda</w:t>
      </w:r>
    </w:p>
    <w:p w14:paraId="6E4E31E7" w14:textId="77777777" w:rsidR="00352F37" w:rsidRPr="004E668C" w:rsidRDefault="00352F37" w:rsidP="00352F37">
      <w:pPr>
        <w:pStyle w:val="Para"/>
      </w:pPr>
      <w:r w:rsidRPr="004E668C">
        <w:t>All life insurers (insurers) are required to file an Anti-Money Laundering/Countering Financing of Terrorism (AML/CFT) annual return as part of their annual statutory filing. Broadly, the annual return requires an insurer to provide a range of information which includes the insurer’s Inherent Risk (i.e., customer type, the products and services it offers, geographic distribution of its customers and/or beneficiary owners, and channels of distribution). The insurer is also required to provide information about the controls it has in place (Control Effectiveness), including corporate governance structure, internal controls, AML/CFT policies and procedures, employees’ level of experience, integrity, AML/CFT training and knowledge, and other measures taken by the insurer to monitor and/or reduce its ML/TF risk exposure. The information obtained from the annual returns helps the BMA to identify and achieve a better understanding of each individual insurer’s exposure or potential exposure to ML/TF risks.</w:t>
      </w:r>
    </w:p>
    <w:p w14:paraId="6E4E31E8" w14:textId="77777777" w:rsidR="00352F37" w:rsidRPr="004E668C" w:rsidRDefault="00352F37" w:rsidP="00352F37">
      <w:pPr>
        <w:pStyle w:val="Para"/>
      </w:pPr>
      <w:r w:rsidRPr="004E668C">
        <w:t>The annual return is embedded within the insurance prudential statutory return</w:t>
      </w:r>
      <w:r>
        <w:t xml:space="preserve">. This </w:t>
      </w:r>
      <w:r w:rsidRPr="004E668C">
        <w:t>allows both the AML/CFT and prudential supervisors to have a holis</w:t>
      </w:r>
      <w:r>
        <w:t xml:space="preserve">tic view of the insurers’ risk, </w:t>
      </w:r>
      <w:r w:rsidRPr="004E668C">
        <w:t>and eliminates any duplication of information and reduces the burden on insurers since they will only be required to file a single statutory return. In addition, asking insurers to integrate their AML/CFT and prudential filings will ensure ML/TF risk is intrinsic to the insurer’s universal risk management and prioritisation framework.</w:t>
      </w:r>
    </w:p>
    <w:p w14:paraId="6E4E31E9" w14:textId="77777777" w:rsidR="00352F37" w:rsidRPr="004E668C" w:rsidRDefault="00352F37" w:rsidP="00352F37">
      <w:pPr>
        <w:pStyle w:val="Para"/>
      </w:pPr>
      <w:r w:rsidRPr="004E668C">
        <w:t xml:space="preserve">The BMA also takes into consideration the size (Exposure Level) of each insurer. The exposure level adjustment is built upon the basis that the size of the insurer directly correlates with the level of ML/TF it is exposed to in light of the insurer’s volume and/or size of activities. Larger insurance entities can also be systemically important institutions that can adversely impact the stability of the sector if major ML/TF events were to occur, with downstream effects on the reputation of Bermuda. </w:t>
      </w:r>
    </w:p>
    <w:p w14:paraId="6E4E31EA" w14:textId="77777777" w:rsidR="00352F37" w:rsidRPr="004E668C" w:rsidRDefault="00352F37" w:rsidP="00352F37">
      <w:pPr>
        <w:pStyle w:val="Para"/>
      </w:pPr>
      <w:r w:rsidRPr="004E668C">
        <w:t>In addition, the BMA’s understanding of ML/TF risks is further enhanced and refined through information obtained from onsite and offsite results, insurers’ independent AML/CFT audit reports , enforcement actions, and information from other local competent and law enforcement authorities (Other Variable). Furthermore, and to facilitate comparison of the insurance entities with other AML/CFT regulated entities outside the life insurance sector, the BMA takes into consideration the risk inherent within the life insurance sector as a whole in comparison to the inherent risk of other sectors. The sectorial inherent risk is largely based on the National Risk Assessment (NRA) results. The NRA results are used to inform and cross-calibrate the overall understanding of ML/TF risk within the life insurance sector.</w:t>
      </w:r>
    </w:p>
    <w:p w14:paraId="6E4E31EB" w14:textId="77777777" w:rsidR="00352F37" w:rsidRDefault="00352F37" w:rsidP="00352F37">
      <w:pPr>
        <w:pStyle w:val="Para"/>
      </w:pPr>
      <w:r w:rsidRPr="004E668C">
        <w:t>The BMA assesses this information using an internally-developed risk assessment model (the Model), an analytical tool providing a formal and systematic process for assessing the level of ML/TF risk in a consistent way across all insurers. As a mathematical function, the model calculates the insurer’s entity risk score (ERS) using the following equation:</w:t>
      </w:r>
    </w:p>
    <w:p w14:paraId="6E4E31EC" w14:textId="77777777" w:rsidR="009F2419" w:rsidRPr="004E668C" w:rsidRDefault="009F2419" w:rsidP="009F2419">
      <w:pPr>
        <w:pStyle w:val="Para"/>
        <w:numPr>
          <w:ilvl w:val="0"/>
          <w:numId w:val="0"/>
        </w:numPr>
        <w:ind w:left="680"/>
      </w:pPr>
    </w:p>
    <w:p w14:paraId="6E4E31ED" w14:textId="77777777" w:rsidR="00352F37" w:rsidRPr="00E63765" w:rsidRDefault="00352F37" w:rsidP="00352F37">
      <w:pPr>
        <w:tabs>
          <w:tab w:val="clear" w:pos="850"/>
          <w:tab w:val="clear" w:pos="1191"/>
          <w:tab w:val="clear" w:pos="1531"/>
        </w:tabs>
        <w:spacing w:before="120" w:after="120"/>
        <w:ind w:left="680" w:right="680"/>
        <w:rPr>
          <w:rFonts w:eastAsia="SimSun"/>
          <w:szCs w:val="22"/>
          <w:lang w:val="fr-FR"/>
        </w:rPr>
      </w:pPr>
      <w:r w:rsidRPr="00E63765">
        <w:rPr>
          <w:rFonts w:eastAsia="SimSun"/>
          <w:szCs w:val="22"/>
          <w:lang w:val="fr-FR"/>
        </w:rPr>
        <w:lastRenderedPageBreak/>
        <w:t>ERS = (IR – CE) x EL +/- OV</w:t>
      </w:r>
    </w:p>
    <w:p w14:paraId="6E4E31EE"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Whereby:</w:t>
      </w:r>
    </w:p>
    <w:p w14:paraId="6E4E31EF"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 xml:space="preserve">IR = Inherent Risk </w:t>
      </w:r>
    </w:p>
    <w:p w14:paraId="6E4E31F0"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CE = Control Effectiveness</w:t>
      </w:r>
    </w:p>
    <w:p w14:paraId="6E4E31F1"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 xml:space="preserve">EL = Exposure Level </w:t>
      </w:r>
    </w:p>
    <w:p w14:paraId="6E4E31F2"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OV = Other Variables</w:t>
      </w:r>
    </w:p>
    <w:p w14:paraId="6E4E31F3"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r w:rsidRPr="004E668C">
        <w:rPr>
          <w:rFonts w:eastAsia="SimSun"/>
          <w:szCs w:val="22"/>
        </w:rPr>
        <w:t xml:space="preserve">IR – CE = RR (Residual Risk) </w:t>
      </w:r>
    </w:p>
    <w:p w14:paraId="6E4E31F4" w14:textId="77777777" w:rsidR="00352F37" w:rsidRDefault="00352F37" w:rsidP="00352F37">
      <w:pPr>
        <w:pStyle w:val="Para"/>
      </w:pPr>
      <w:r w:rsidRPr="004E668C">
        <w:t xml:space="preserve">After taking into consideration all the factors described above, the BMA Model derives the insurer’s ML/TF risk score broadly classified as low, medium or high risk. The weight allocated to each factor is determined based on the importance and or materiality of that factor in assessing the overall ML/TF risk of the insurer. These results constitute the basis for further actions taken by the BMA. It enables the BMA to give priority and allocate more supervisory resources to insurance entities of higher ML/TF risk, and determine the frequency, scope and intensity of periodic assessments (including offsite monitoring and onsite reviews) of an insurer’s ML/TF  risk.  </w:t>
      </w:r>
    </w:p>
    <w:p w14:paraId="6E4E31F5" w14:textId="77777777" w:rsidR="00352F37" w:rsidRPr="004E668C" w:rsidRDefault="00352F37" w:rsidP="00352F37">
      <w:pPr>
        <w:tabs>
          <w:tab w:val="clear" w:pos="850"/>
          <w:tab w:val="clear" w:pos="1191"/>
          <w:tab w:val="clear" w:pos="1531"/>
        </w:tabs>
        <w:spacing w:before="120" w:after="120"/>
        <w:ind w:left="680" w:right="680"/>
        <w:rPr>
          <w:rFonts w:ascii="Times New Roman Bold" w:eastAsia="SimSun" w:hAnsi="Times New Roman Bold" w:hint="eastAsia"/>
          <w:b/>
          <w:smallCaps/>
          <w:szCs w:val="22"/>
        </w:rPr>
      </w:pPr>
      <w:r w:rsidRPr="004E668C">
        <w:rPr>
          <w:rFonts w:ascii="Times New Roman Bold" w:eastAsia="SimSun" w:hAnsi="Times New Roman Bold"/>
          <w:b/>
          <w:smallCaps/>
          <w:szCs w:val="22"/>
        </w:rPr>
        <w:t>France</w:t>
      </w:r>
    </w:p>
    <w:p w14:paraId="6E4E31F6" w14:textId="77777777" w:rsidR="00352F37" w:rsidRPr="004E668C" w:rsidRDefault="00352F37" w:rsidP="00352F37">
      <w:pPr>
        <w:pStyle w:val="Para"/>
      </w:pPr>
      <w:r w:rsidRPr="004E668C">
        <w:t>On the assessment on ML/TF risks, the ACPR issues an annual AML/CFT questionnaire to be submitted by life insurers and groups (as well as banking entities and groups). The questionnaire was reviewed to include a dedicated part to specific AML/CFT risk based approach, which takes into account that insurers are required to undertake of their own a risk assessment including products, channels, transactions and characteristics of customers and to extend the type of statistics information in line with AML-CFT activity/system. Additionally, insurers (as well as banks) are requested to submit annually an internal control report dedicated to AML-CFT aspects. The ACPR determines a risk profile for each life insurer, taking into account answers to the annual questionnaire, the analysis of the internal control report, and where an inspection has been performed, the results of on-site inspection and information received. For intermediaries that are small entities and that do not receive funds, the ACPR also determines a risk profile at the level of a cluster.</w:t>
      </w:r>
    </w:p>
    <w:p w14:paraId="6E4E31F7" w14:textId="77777777" w:rsidR="00352F37" w:rsidRPr="004E668C" w:rsidRDefault="00352F37" w:rsidP="00352F37">
      <w:pPr>
        <w:pStyle w:val="Para"/>
      </w:pPr>
      <w:r w:rsidRPr="004E668C">
        <w:t>At the sectoral level, the ACPR has undertaken a review of the se</w:t>
      </w:r>
      <w:r>
        <w:t>ctoral risk assessment by analys</w:t>
      </w:r>
      <w:r w:rsidRPr="004E668C">
        <w:t xml:space="preserve">ing and aggregating the responses submitted to the aforementioned questionnaire and from the outcomes of insurer internal control reports. The ACPR engages with the private sector and other public authorities within dedicated consultative fora. The ACPR supports a cross-sectoral approach in AML-CFT (including both banking and insurance sectors) since a lot of banking institutions in France are distributing insurance contracts on behalf of insurers and a lot of them are </w:t>
      </w:r>
      <w:proofErr w:type="spellStart"/>
      <w:r w:rsidRPr="004E668C">
        <w:t>bancassurance</w:t>
      </w:r>
      <w:proofErr w:type="spellEnd"/>
      <w:r w:rsidRPr="004E668C">
        <w:t xml:space="preserve"> entities.</w:t>
      </w:r>
    </w:p>
    <w:p w14:paraId="6E4E31F8" w14:textId="77777777" w:rsidR="00352F37" w:rsidRPr="004E668C" w:rsidRDefault="00352F37" w:rsidP="00352F37">
      <w:pPr>
        <w:pStyle w:val="Para"/>
      </w:pPr>
      <w:r w:rsidRPr="004E668C">
        <w:t xml:space="preserve">The areas of inspection in the insurance sector are currently driven by risk factors. On average, on-site missions are performed on seven to ten insurance companies annually. Over the past years, targeted missions which focused on specific risk areas were carried out. </w:t>
      </w:r>
    </w:p>
    <w:p w14:paraId="6E4E31F9" w14:textId="77777777" w:rsidR="00352F37" w:rsidRPr="004E668C" w:rsidRDefault="00352F37" w:rsidP="00352F37">
      <w:pPr>
        <w:pStyle w:val="Para"/>
      </w:pPr>
      <w:r w:rsidRPr="004E668C">
        <w:t xml:space="preserve">At an insurance group level, the ACPR has carried out off-site inspections, in particular in the context of the Panama papers. The ACPR has also conducted on-site inspections at the parent undertaking group level, including extended inspections at certain foreign entities, with the authorization of the competent host country authority. </w:t>
      </w:r>
      <w:r w:rsidRPr="004E668C">
        <w:lastRenderedPageBreak/>
        <w:t xml:space="preserve">These inspections aim to ensure that groups are effectively managing the risks inherent in business undertaken by foreign entities, and to supplement action taken by authorities in the host country, which are responsible for checking that locally applicable AML/CTF arrangements are properly implemented. </w:t>
      </w:r>
    </w:p>
    <w:p w14:paraId="6E4E31FA" w14:textId="77777777" w:rsidR="00352F37" w:rsidRPr="004E668C" w:rsidRDefault="00352F37" w:rsidP="00352F37">
      <w:pPr>
        <w:pStyle w:val="Para"/>
      </w:pPr>
      <w:r w:rsidRPr="004E668C">
        <w:t xml:space="preserve">More generally, in the insurance sector, inspections mainly have focused on large life insurers and a few brokers, particularly following reports to the ACPR by TRACFIN. Specific focus was given to due diligence measures implemented by institutions with regard to the repayment of bearer guaranteed investment contracts, which carry a higher risk of money laundering and legal persons or arrangements as customers and the </w:t>
      </w:r>
      <w:r>
        <w:t>issue of identification of BOs.</w:t>
      </w:r>
    </w:p>
    <w:p w14:paraId="6E4E31FB" w14:textId="77777777" w:rsidR="00352F37" w:rsidRPr="004E668C" w:rsidRDefault="00352F37" w:rsidP="00352F37">
      <w:pPr>
        <w:tabs>
          <w:tab w:val="clear" w:pos="850"/>
          <w:tab w:val="clear" w:pos="1191"/>
          <w:tab w:val="clear" w:pos="1531"/>
        </w:tabs>
        <w:spacing w:before="120" w:after="120"/>
        <w:ind w:left="680" w:right="680"/>
        <w:rPr>
          <w:rFonts w:ascii="Times New Roman Bold" w:eastAsia="SimSun" w:hAnsi="Times New Roman Bold" w:hint="eastAsia"/>
          <w:b/>
          <w:smallCaps/>
          <w:szCs w:val="22"/>
        </w:rPr>
      </w:pPr>
      <w:r w:rsidRPr="004E668C">
        <w:rPr>
          <w:rFonts w:ascii="Times New Roman Bold" w:eastAsia="SimSun" w:hAnsi="Times New Roman Bold"/>
          <w:b/>
          <w:smallCaps/>
          <w:szCs w:val="22"/>
        </w:rPr>
        <w:t>Netherlands</w:t>
      </w:r>
    </w:p>
    <w:p w14:paraId="6E4E31FC" w14:textId="77777777" w:rsidR="00352F37" w:rsidRPr="004E668C" w:rsidRDefault="00352F37" w:rsidP="00352F37">
      <w:pPr>
        <w:spacing w:before="120"/>
        <w:ind w:left="680" w:right="680"/>
        <w:rPr>
          <w:b/>
          <w:bCs/>
          <w:i/>
          <w:szCs w:val="22"/>
          <w:lang w:val="en-US"/>
        </w:rPr>
      </w:pPr>
      <w:r w:rsidRPr="004E668C">
        <w:rPr>
          <w:b/>
          <w:bCs/>
          <w:i/>
          <w:szCs w:val="22"/>
          <w:lang w:val="en-US"/>
        </w:rPr>
        <w:t xml:space="preserve">Example 1: Off-site AML/CFT thematic review of branches of life insurance companies </w:t>
      </w:r>
    </w:p>
    <w:p w14:paraId="6E4E31FD" w14:textId="77777777" w:rsidR="00352F37" w:rsidRPr="004E668C" w:rsidRDefault="00352F37" w:rsidP="00352F37">
      <w:pPr>
        <w:pStyle w:val="Para"/>
      </w:pPr>
      <w:r w:rsidRPr="004E668C">
        <w:t>In 2016, DNB has conducted an off-site thematic review in which it investigated by means of a short survey all branches of life insurance companies who have been notified in the Netherlands, among which six life insurance companies. The questionnaire consisted of approximately 50 questions and focused on both compliance with AML/CFT legislation and compliance with sanctions legislation. The overall outcome was that most branches are familiar with the Dutch AML regulation. In certain cases improvement to the internal AML/CFT compliance procedures of the branches was needed, for example with respect to the PEP detection process or the reporting of unusual transactions to the FIU. This has been addressed. Some issues in relation to non-compliance with sanctions law legislation were followed up by the supervisor.  </w:t>
      </w:r>
    </w:p>
    <w:p w14:paraId="6E4E31FE" w14:textId="77777777" w:rsidR="00352F37" w:rsidRPr="004E668C" w:rsidRDefault="00352F37" w:rsidP="00352F37">
      <w:pPr>
        <w:ind w:left="680" w:right="680"/>
        <w:rPr>
          <w:b/>
          <w:bCs/>
          <w:i/>
          <w:szCs w:val="22"/>
          <w:lang w:val="en-US"/>
        </w:rPr>
      </w:pPr>
      <w:r w:rsidRPr="004E668C">
        <w:rPr>
          <w:b/>
          <w:bCs/>
          <w:i/>
          <w:szCs w:val="22"/>
          <w:lang w:val="en-US"/>
        </w:rPr>
        <w:t xml:space="preserve">Example 2: Sectoral risk analysis Insurance Companies </w:t>
      </w:r>
    </w:p>
    <w:p w14:paraId="6E4E31FF" w14:textId="77777777" w:rsidR="00352F37" w:rsidRPr="004E668C" w:rsidRDefault="00352F37" w:rsidP="00352F37">
      <w:pPr>
        <w:pStyle w:val="Para"/>
        <w:rPr>
          <w:lang w:val="en-US"/>
        </w:rPr>
      </w:pPr>
      <w:r w:rsidRPr="004E668C">
        <w:rPr>
          <w:lang w:val="en-US"/>
        </w:rPr>
        <w:t>The Dutch insurance supervisor annually performs a sector-wide analysis amongst insurance companies by sending them a questionnaire. The aim of the project is to acquire data-driven input to determine signal values for non-financial risks. This project focuses on the following non-financial risks:</w:t>
      </w:r>
    </w:p>
    <w:p w14:paraId="6E4E3200" w14:textId="77777777" w:rsidR="00352F37" w:rsidRPr="004E668C" w:rsidRDefault="00352F37" w:rsidP="00352F37">
      <w:pPr>
        <w:pStyle w:val="BulletedList"/>
        <w:numPr>
          <w:ilvl w:val="0"/>
          <w:numId w:val="23"/>
        </w:numPr>
        <w:rPr>
          <w:lang w:val="en-US"/>
        </w:rPr>
      </w:pPr>
      <w:r w:rsidRPr="004E668C">
        <w:rPr>
          <w:lang w:val="en-US"/>
        </w:rPr>
        <w:t>Business models and strategy,</w:t>
      </w:r>
    </w:p>
    <w:p w14:paraId="6E4E3201" w14:textId="77777777" w:rsidR="00352F37" w:rsidRPr="004E668C" w:rsidRDefault="00352F37" w:rsidP="00352F37">
      <w:pPr>
        <w:pStyle w:val="BulletedList"/>
        <w:numPr>
          <w:ilvl w:val="0"/>
          <w:numId w:val="23"/>
        </w:numPr>
        <w:rPr>
          <w:lang w:val="en-US"/>
        </w:rPr>
      </w:pPr>
      <w:r w:rsidRPr="004E668C">
        <w:rPr>
          <w:lang w:val="en-US"/>
        </w:rPr>
        <w:t>Information technology,</w:t>
      </w:r>
    </w:p>
    <w:p w14:paraId="6E4E3202" w14:textId="77777777" w:rsidR="00352F37" w:rsidRPr="004E668C" w:rsidRDefault="00352F37" w:rsidP="00352F37">
      <w:pPr>
        <w:pStyle w:val="BulletedList"/>
        <w:numPr>
          <w:ilvl w:val="0"/>
          <w:numId w:val="23"/>
        </w:numPr>
        <w:rPr>
          <w:lang w:val="en-US"/>
        </w:rPr>
      </w:pPr>
      <w:r w:rsidRPr="004E668C">
        <w:rPr>
          <w:lang w:val="en-US"/>
        </w:rPr>
        <w:t>Operational,</w:t>
      </w:r>
    </w:p>
    <w:p w14:paraId="6E4E3203" w14:textId="77777777" w:rsidR="00352F37" w:rsidRPr="004E668C" w:rsidRDefault="00352F37" w:rsidP="00352F37">
      <w:pPr>
        <w:pStyle w:val="BulletedList"/>
        <w:numPr>
          <w:ilvl w:val="0"/>
          <w:numId w:val="23"/>
        </w:numPr>
        <w:rPr>
          <w:lang w:val="en-US"/>
        </w:rPr>
      </w:pPr>
      <w:r w:rsidRPr="004E668C">
        <w:rPr>
          <w:lang w:val="en-US"/>
        </w:rPr>
        <w:t>Governance, behavior &amp; culture,</w:t>
      </w:r>
    </w:p>
    <w:p w14:paraId="6E4E3204" w14:textId="77777777" w:rsidR="00352F37" w:rsidRPr="004E668C" w:rsidRDefault="00352F37" w:rsidP="00352F37">
      <w:pPr>
        <w:pStyle w:val="BulletedList"/>
        <w:numPr>
          <w:ilvl w:val="0"/>
          <w:numId w:val="23"/>
        </w:numPr>
        <w:rPr>
          <w:lang w:val="en-US"/>
        </w:rPr>
      </w:pPr>
      <w:r w:rsidRPr="004E668C">
        <w:rPr>
          <w:lang w:val="en-US"/>
        </w:rPr>
        <w:t>Integrity (including AML/CFT and sanction law)</w:t>
      </w:r>
    </w:p>
    <w:p w14:paraId="6E4E3205" w14:textId="77777777" w:rsidR="00352F37" w:rsidRPr="004E668C" w:rsidRDefault="00352F37" w:rsidP="00352F37">
      <w:pPr>
        <w:pStyle w:val="Para"/>
      </w:pPr>
      <w:r w:rsidRPr="004E668C">
        <w:t xml:space="preserve">The output of the analysis is one of the indicators that is be used to determine the ultimate risk score of an insurance company. Other indicators that can be combined with the signal value are results of studies and signals from the regular supervision. </w:t>
      </w:r>
    </w:p>
    <w:p w14:paraId="6E4E3206" w14:textId="77777777" w:rsidR="00352F37" w:rsidRPr="004E668C" w:rsidRDefault="00352F37" w:rsidP="00352F37">
      <w:pPr>
        <w:pStyle w:val="Para"/>
      </w:pPr>
      <w:r w:rsidRPr="004E668C">
        <w:t xml:space="preserve">The ultimate aim of the project is to achieve: </w:t>
      </w:r>
    </w:p>
    <w:p w14:paraId="6E4E3207" w14:textId="77777777" w:rsidR="00352F37" w:rsidRPr="004E668C" w:rsidRDefault="00352F37" w:rsidP="00352F37">
      <w:pPr>
        <w:pStyle w:val="BulletedList"/>
        <w:numPr>
          <w:ilvl w:val="0"/>
          <w:numId w:val="23"/>
        </w:numPr>
        <w:rPr>
          <w:lang w:val="en-US"/>
        </w:rPr>
      </w:pPr>
      <w:proofErr w:type="gramStart"/>
      <w:r w:rsidRPr="004E668C">
        <w:rPr>
          <w:lang w:val="en-US"/>
        </w:rPr>
        <w:t>Structured,</w:t>
      </w:r>
      <w:proofErr w:type="gramEnd"/>
      <w:r w:rsidRPr="004E668C">
        <w:rPr>
          <w:lang w:val="en-US"/>
        </w:rPr>
        <w:t xml:space="preserve"> data-driven input for the context or focalizes for non-financial risks, signal value, prioritization, and direction to further research. In addition, also make the development visible over time, per institution and sector-wide.</w:t>
      </w:r>
    </w:p>
    <w:p w14:paraId="6E4E3208" w14:textId="77777777" w:rsidR="00352F37" w:rsidRPr="004E668C" w:rsidRDefault="00352F37" w:rsidP="00352F37">
      <w:pPr>
        <w:pStyle w:val="BulletedList"/>
        <w:numPr>
          <w:ilvl w:val="0"/>
          <w:numId w:val="23"/>
        </w:numPr>
        <w:rPr>
          <w:lang w:val="en-US"/>
        </w:rPr>
      </w:pPr>
      <w:r w:rsidRPr="004E668C">
        <w:rPr>
          <w:lang w:val="en-US"/>
        </w:rPr>
        <w:t>Increase of awareness of the sector with regard to these risks and risk management.</w:t>
      </w:r>
    </w:p>
    <w:p w14:paraId="6E4E3209" w14:textId="77777777" w:rsidR="00352F37" w:rsidRPr="004E668C" w:rsidRDefault="00352F37" w:rsidP="00352F37">
      <w:pPr>
        <w:pStyle w:val="BulletedList"/>
        <w:numPr>
          <w:ilvl w:val="0"/>
          <w:numId w:val="23"/>
        </w:numPr>
        <w:rPr>
          <w:lang w:val="en-US"/>
        </w:rPr>
      </w:pPr>
      <w:r w:rsidRPr="004E668C">
        <w:rPr>
          <w:lang w:val="en-US"/>
        </w:rPr>
        <w:lastRenderedPageBreak/>
        <w:t>Reduction of inherent risks and / or improved risk management of the non-financial risks.</w:t>
      </w:r>
    </w:p>
    <w:p w14:paraId="6E4E320A" w14:textId="77777777" w:rsidR="00352F37" w:rsidRPr="004E668C" w:rsidRDefault="00352F37" w:rsidP="00352F37">
      <w:pPr>
        <w:rPr>
          <w:szCs w:val="22"/>
          <w:lang w:val="en-US"/>
        </w:rPr>
      </w:pPr>
    </w:p>
    <w:p w14:paraId="6E4E320B" w14:textId="77777777" w:rsidR="00352F37" w:rsidRPr="004E668C" w:rsidRDefault="00352F37" w:rsidP="00352F37">
      <w:pPr>
        <w:tabs>
          <w:tab w:val="clear" w:pos="850"/>
          <w:tab w:val="clear" w:pos="1191"/>
          <w:tab w:val="clear" w:pos="1531"/>
        </w:tabs>
        <w:jc w:val="left"/>
        <w:rPr>
          <w:rFonts w:eastAsia="SimSun"/>
          <w:szCs w:val="22"/>
        </w:rPr>
      </w:pPr>
      <w:r w:rsidRPr="004E668C">
        <w:rPr>
          <w:rFonts w:eastAsia="SimSun"/>
          <w:szCs w:val="22"/>
        </w:rPr>
        <w:br w:type="page"/>
      </w:r>
    </w:p>
    <w:p w14:paraId="6E4E320C" w14:textId="77777777" w:rsidR="00352F37" w:rsidRPr="0009326E" w:rsidRDefault="00352F37" w:rsidP="00352F37">
      <w:pPr>
        <w:pStyle w:val="Heading7"/>
        <w:numPr>
          <w:ilvl w:val="6"/>
          <w:numId w:val="44"/>
        </w:numPr>
        <w:ind w:left="680" w:right="680" w:firstLine="289"/>
      </w:pPr>
      <w:bookmarkStart w:id="103" w:name="_Toc517968077"/>
      <w:r w:rsidRPr="0009326E">
        <w:lastRenderedPageBreak/>
        <w:t>GUIDANCE PROVIDED BY SUPERVISORS TO PRIVATE SECTOR FOR THE APPLICATION OF THE RBA</w:t>
      </w:r>
      <w:bookmarkEnd w:id="103"/>
    </w:p>
    <w:p w14:paraId="6E4E320D" w14:textId="77777777" w:rsidR="00352F37" w:rsidRPr="004E668C" w:rsidRDefault="00352F37" w:rsidP="00352F37">
      <w:pPr>
        <w:tabs>
          <w:tab w:val="clear" w:pos="850"/>
          <w:tab w:val="clear" w:pos="1191"/>
          <w:tab w:val="clear" w:pos="1531"/>
        </w:tabs>
        <w:spacing w:before="120" w:after="120"/>
        <w:ind w:left="680" w:right="680"/>
        <w:rPr>
          <w:rFonts w:ascii="Times New Roman Bold" w:eastAsia="SimSun" w:hAnsi="Times New Roman Bold" w:hint="eastAsia"/>
          <w:b/>
          <w:smallCaps/>
          <w:szCs w:val="22"/>
        </w:rPr>
      </w:pPr>
      <w:r w:rsidRPr="004E668C">
        <w:rPr>
          <w:rFonts w:ascii="Times New Roman Bold" w:eastAsia="SimSun" w:hAnsi="Times New Roman Bold"/>
          <w:b/>
          <w:smallCaps/>
          <w:szCs w:val="22"/>
        </w:rPr>
        <w:t>Canada</w:t>
      </w:r>
    </w:p>
    <w:p w14:paraId="6E4E320E" w14:textId="77777777" w:rsidR="00352F37" w:rsidRPr="004E668C" w:rsidRDefault="00352F37" w:rsidP="00352F37">
      <w:pPr>
        <w:pStyle w:val="Para"/>
        <w:rPr>
          <w:lang w:val="en-US"/>
        </w:rPr>
      </w:pPr>
      <w:r w:rsidRPr="004E668C">
        <w:rPr>
          <w:lang w:val="en-US"/>
        </w:rPr>
        <w:t xml:space="preserve">Canada provides guidance to the private sector in the form of a workbook, which includes risk assessment and risk factors.  Further information on the guidance provided to the private sector can be found on: </w:t>
      </w:r>
      <w:hyperlink r:id="rId20" w:history="1">
        <w:r w:rsidRPr="004E668C">
          <w:rPr>
            <w:i/>
            <w:color w:val="2B3ECD"/>
            <w:u w:val="single"/>
          </w:rPr>
          <w:t>http://www.fintrac-canafe.gc.ca/guidance-directives/compliance-conformite/rba/rba-li-eng.asp</w:t>
        </w:r>
      </w:hyperlink>
    </w:p>
    <w:p w14:paraId="6E4E320F" w14:textId="77777777" w:rsidR="00352F37" w:rsidRPr="004E668C" w:rsidRDefault="00352F37" w:rsidP="00352F37">
      <w:pPr>
        <w:tabs>
          <w:tab w:val="clear" w:pos="850"/>
          <w:tab w:val="clear" w:pos="1191"/>
          <w:tab w:val="clear" w:pos="1531"/>
        </w:tabs>
        <w:spacing w:before="120" w:after="120"/>
        <w:ind w:left="680" w:right="680"/>
        <w:rPr>
          <w:rFonts w:eastAsia="SimSun"/>
          <w:i/>
        </w:rPr>
      </w:pPr>
    </w:p>
    <w:p w14:paraId="6E4E3210" w14:textId="77777777" w:rsidR="00352F37" w:rsidRPr="004E668C" w:rsidRDefault="00352F37" w:rsidP="00352F37">
      <w:pPr>
        <w:tabs>
          <w:tab w:val="clear" w:pos="850"/>
          <w:tab w:val="clear" w:pos="1191"/>
          <w:tab w:val="clear" w:pos="1531"/>
        </w:tabs>
        <w:spacing w:before="120" w:after="120"/>
        <w:ind w:left="680" w:right="680"/>
        <w:rPr>
          <w:rFonts w:ascii="Times New Roman Bold" w:eastAsia="SimSun" w:hAnsi="Times New Roman Bold" w:hint="eastAsia"/>
          <w:b/>
          <w:smallCaps/>
          <w:szCs w:val="22"/>
        </w:rPr>
      </w:pPr>
      <w:r w:rsidRPr="004E668C">
        <w:rPr>
          <w:rFonts w:ascii="Times New Roman Bold" w:eastAsia="SimSun" w:hAnsi="Times New Roman Bold"/>
          <w:b/>
          <w:smallCaps/>
          <w:szCs w:val="22"/>
        </w:rPr>
        <w:t>France</w:t>
      </w:r>
    </w:p>
    <w:p w14:paraId="6E4E3211" w14:textId="77777777" w:rsidR="00352F37" w:rsidRPr="004E668C" w:rsidRDefault="00352F37" w:rsidP="00352F37">
      <w:pPr>
        <w:pStyle w:val="Para"/>
        <w:rPr>
          <w:lang w:val="en-US"/>
        </w:rPr>
      </w:pPr>
      <w:r w:rsidRPr="004E668C">
        <w:rPr>
          <w:lang w:val="en-US"/>
        </w:rPr>
        <w:t>The sector enforcement principles on AML/CTF for the insurance sector, adopted and published in February 2015, are an explanatory document intended to apply to all insurance entities. This also applies to banking institutions where they are distributing insurance products, particularly when they act as third parties at the time of purchase of the insurance policy or as parent companies to bank-assurance linked groups.</w:t>
      </w:r>
    </w:p>
    <w:p w14:paraId="6E4E3212" w14:textId="77777777" w:rsidR="00352F37" w:rsidRPr="004E668C" w:rsidRDefault="00352F37" w:rsidP="00352F37">
      <w:pPr>
        <w:pStyle w:val="Para"/>
        <w:rPr>
          <w:lang w:val="en-US"/>
        </w:rPr>
      </w:pPr>
      <w:r w:rsidRPr="004E668C">
        <w:rPr>
          <w:lang w:val="en-US"/>
        </w:rPr>
        <w:t>The document is dedicated to the following subjects:</w:t>
      </w:r>
    </w:p>
    <w:p w14:paraId="6E4E3213" w14:textId="77777777" w:rsidR="00352F37" w:rsidRPr="004E668C" w:rsidRDefault="00352F37" w:rsidP="00352F37">
      <w:pPr>
        <w:pStyle w:val="BulletedList"/>
        <w:numPr>
          <w:ilvl w:val="0"/>
          <w:numId w:val="23"/>
        </w:numPr>
        <w:rPr>
          <w:lang w:val="en-US"/>
        </w:rPr>
      </w:pPr>
      <w:r w:rsidRPr="004E668C">
        <w:rPr>
          <w:lang w:val="en-US"/>
        </w:rPr>
        <w:t>risk-based approach;</w:t>
      </w:r>
    </w:p>
    <w:p w14:paraId="6E4E3214" w14:textId="77777777" w:rsidR="00352F37" w:rsidRPr="004E668C" w:rsidRDefault="00352F37" w:rsidP="00352F37">
      <w:pPr>
        <w:pStyle w:val="BulletedList"/>
        <w:numPr>
          <w:ilvl w:val="0"/>
          <w:numId w:val="23"/>
        </w:numPr>
        <w:rPr>
          <w:lang w:val="en-US"/>
        </w:rPr>
      </w:pPr>
      <w:r w:rsidRPr="004E668C">
        <w:rPr>
          <w:lang w:val="en-US"/>
        </w:rPr>
        <w:t>organization of the AML/CTF and internal control procedures;</w:t>
      </w:r>
    </w:p>
    <w:p w14:paraId="6E4E3215" w14:textId="77777777" w:rsidR="00352F37" w:rsidRPr="004E668C" w:rsidRDefault="00352F37" w:rsidP="00352F37">
      <w:pPr>
        <w:pStyle w:val="BulletedList"/>
        <w:numPr>
          <w:ilvl w:val="0"/>
          <w:numId w:val="23"/>
        </w:numPr>
        <w:rPr>
          <w:lang w:val="en-US"/>
        </w:rPr>
      </w:pPr>
      <w:r w:rsidRPr="004E668C">
        <w:rPr>
          <w:lang w:val="en-US"/>
        </w:rPr>
        <w:t>due diligence in life insurance;</w:t>
      </w:r>
    </w:p>
    <w:p w14:paraId="6E4E3216" w14:textId="77777777" w:rsidR="00352F37" w:rsidRPr="004E668C" w:rsidRDefault="00352F37" w:rsidP="00352F37">
      <w:pPr>
        <w:pStyle w:val="BulletedList"/>
        <w:numPr>
          <w:ilvl w:val="0"/>
          <w:numId w:val="23"/>
        </w:numPr>
        <w:rPr>
          <w:lang w:val="en-US"/>
        </w:rPr>
      </w:pPr>
      <w:r w:rsidRPr="004E668C">
        <w:rPr>
          <w:lang w:val="en-US"/>
        </w:rPr>
        <w:t>use of third-party reliance in insurance;</w:t>
      </w:r>
    </w:p>
    <w:p w14:paraId="6E4E3217" w14:textId="77777777" w:rsidR="00352F37" w:rsidRPr="004E668C" w:rsidRDefault="00352F37" w:rsidP="00352F37">
      <w:pPr>
        <w:pStyle w:val="BulletedList"/>
        <w:numPr>
          <w:ilvl w:val="0"/>
          <w:numId w:val="23"/>
        </w:numPr>
        <w:rPr>
          <w:lang w:val="en-US"/>
        </w:rPr>
      </w:pPr>
      <w:r w:rsidRPr="004E668C">
        <w:rPr>
          <w:lang w:val="en-US"/>
        </w:rPr>
        <w:t>AML/CTF obligations in non-life insurance.</w:t>
      </w:r>
    </w:p>
    <w:p w14:paraId="6E4E3218" w14:textId="77777777" w:rsidR="00352F37" w:rsidRPr="004E668C" w:rsidRDefault="00352F37" w:rsidP="00352F37">
      <w:pPr>
        <w:pStyle w:val="Para"/>
        <w:rPr>
          <w:lang w:val="en-US"/>
        </w:rPr>
      </w:pPr>
      <w:r w:rsidRPr="004E668C">
        <w:rPr>
          <w:lang w:val="en-US"/>
        </w:rPr>
        <w:t>The annexes include examples of money laundering and TF typologies with respect to life insurance, and non-life insurance developed by TRACFIN, to provide a concrete illustration of the risks. In addition, ACPR’s cross-sectorial guidelines, such as STR reporting obligations guidelines, PEPs cover the banking and the insurance sectors.</w:t>
      </w:r>
    </w:p>
    <w:p w14:paraId="6E4E3219" w14:textId="77777777" w:rsidR="00352F37" w:rsidRPr="004E668C" w:rsidRDefault="00352F37" w:rsidP="00352F37">
      <w:pPr>
        <w:tabs>
          <w:tab w:val="clear" w:pos="850"/>
          <w:tab w:val="clear" w:pos="1191"/>
          <w:tab w:val="clear" w:pos="1531"/>
        </w:tabs>
        <w:spacing w:before="120" w:after="120"/>
        <w:ind w:left="680" w:right="680"/>
        <w:rPr>
          <w:szCs w:val="22"/>
          <w:lang w:val="en-US"/>
        </w:rPr>
      </w:pPr>
    </w:p>
    <w:p w14:paraId="6E4E321A" w14:textId="77777777" w:rsidR="00352F37" w:rsidRPr="004E668C" w:rsidRDefault="00352F37" w:rsidP="00352F37">
      <w:pPr>
        <w:tabs>
          <w:tab w:val="clear" w:pos="850"/>
          <w:tab w:val="clear" w:pos="1191"/>
          <w:tab w:val="clear" w:pos="1531"/>
        </w:tabs>
        <w:spacing w:before="120" w:after="120"/>
        <w:ind w:right="680"/>
        <w:rPr>
          <w:rFonts w:eastAsia="SimSun"/>
        </w:rPr>
      </w:pPr>
    </w:p>
    <w:p w14:paraId="6E4E321B" w14:textId="77777777" w:rsidR="00352F37" w:rsidRPr="004E668C" w:rsidRDefault="00352F37" w:rsidP="00352F37">
      <w:pPr>
        <w:tabs>
          <w:tab w:val="clear" w:pos="850"/>
          <w:tab w:val="clear" w:pos="1191"/>
          <w:tab w:val="clear" w:pos="1531"/>
        </w:tabs>
        <w:spacing w:before="120" w:after="120"/>
        <w:ind w:left="680" w:right="680"/>
        <w:rPr>
          <w:rFonts w:eastAsia="SimSun"/>
          <w:szCs w:val="22"/>
        </w:rPr>
      </w:pPr>
    </w:p>
    <w:p w14:paraId="6E4E321C" w14:textId="77777777" w:rsidR="00352F37" w:rsidRPr="004E668C" w:rsidRDefault="00352F37" w:rsidP="00352F37">
      <w:pPr>
        <w:ind w:left="720"/>
        <w:contextualSpacing/>
        <w:rPr>
          <w:szCs w:val="22"/>
          <w:lang w:eastAsia="zh-CN"/>
        </w:rPr>
      </w:pPr>
    </w:p>
    <w:p w14:paraId="6E4E321D" w14:textId="77777777" w:rsidR="002643B3" w:rsidRPr="0015737E" w:rsidRDefault="002643B3" w:rsidP="00352F37">
      <w:pPr>
        <w:pStyle w:val="Title"/>
        <w:spacing w:before="240" w:after="240"/>
        <w:rPr>
          <w:szCs w:val="22"/>
          <w:lang w:eastAsia="zh-CN"/>
        </w:rPr>
      </w:pPr>
    </w:p>
    <w:p w14:paraId="6E4E321E" w14:textId="77777777" w:rsidR="00F2114E" w:rsidRPr="00264F7A" w:rsidRDefault="00F2114E" w:rsidP="00F2114E"/>
    <w:sectPr w:rsidR="00F2114E" w:rsidRPr="00264F7A" w:rsidSect="00845CA2">
      <w:headerReference w:type="even" r:id="rId21"/>
      <w:headerReference w:type="default" r:id="rId22"/>
      <w:footerReference w:type="even" r:id="rId23"/>
      <w:footerReference w:type="default" r:id="rId24"/>
      <w:headerReference w:type="first" r:id="rId25"/>
      <w:footerReference w:type="first" r:id="rId26"/>
      <w:endnotePr>
        <w:numFmt w:val="decimal"/>
        <w:numRestart w:val="eachSect"/>
      </w:endnotePr>
      <w:type w:val="continuous"/>
      <w:pgSz w:w="11907" w:h="16840" w:code="9"/>
      <w:pgMar w:top="2098" w:right="1304" w:bottom="1928" w:left="1304" w:header="1531"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E3228" w14:textId="77777777" w:rsidR="00AD5BE6" w:rsidRPr="00571842" w:rsidRDefault="00AD5BE6" w:rsidP="00571842">
      <w:pPr>
        <w:pStyle w:val="Footer"/>
      </w:pPr>
    </w:p>
  </w:endnote>
  <w:endnote w:type="continuationSeparator" w:id="0">
    <w:p w14:paraId="6E4E3229" w14:textId="77777777" w:rsidR="00AD5BE6" w:rsidRPr="00D37B13" w:rsidRDefault="00AD5BE6" w:rsidP="00D37B13">
      <w:pPr>
        <w:pStyle w:val="Footer"/>
      </w:pPr>
    </w:p>
  </w:endnote>
  <w:endnote w:type="continuationNotice" w:id="1">
    <w:p w14:paraId="6E4E322A" w14:textId="77777777" w:rsidR="00AD5BE6" w:rsidRPr="00D37B13" w:rsidRDefault="00AD5BE6" w:rsidP="00D37B13">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Bernini Sans Light">
    <w:altName w:val="Arial"/>
    <w:panose1 w:val="00000000000000000000"/>
    <w:charset w:val="00"/>
    <w:family w:val="modern"/>
    <w:notTrueType/>
    <w:pitch w:val="variable"/>
    <w:sig w:usb0="00000001" w:usb1="0000007B" w:usb2="00000000" w:usb3="00000000" w:csb0="00000093" w:csb1="00000000"/>
  </w:font>
  <w:font w:name="Caecilia LT Std Roman">
    <w:panose1 w:val="00000000000000000000"/>
    <w:charset w:val="00"/>
    <w:family w:val="modern"/>
    <w:notTrueType/>
    <w:pitch w:val="variable"/>
    <w:sig w:usb0="800000AF" w:usb1="5000204A" w:usb2="00000000" w:usb3="00000000" w:csb0="00000001" w:csb1="00000000"/>
  </w:font>
  <w:font w:name="Bernini Sans">
    <w:altName w:val="Arial"/>
    <w:panose1 w:val="00000000000000000000"/>
    <w:charset w:val="00"/>
    <w:family w:val="modern"/>
    <w:notTrueType/>
    <w:pitch w:val="variable"/>
    <w:sig w:usb0="A00000FF" w:usb1="0000007B" w:usb2="00000000" w:usb3="00000000" w:csb0="00000093" w:csb1="00000000"/>
  </w:font>
  <w:font w:name="Cambria">
    <w:panose1 w:val="02040503050406030204"/>
    <w:charset w:val="00"/>
    <w:family w:val="roman"/>
    <w:pitch w:val="variable"/>
    <w:sig w:usb0="E00002FF" w:usb1="400004FF" w:usb2="00000000" w:usb3="00000000" w:csb0="0000019F" w:csb1="00000000"/>
  </w:font>
  <w:font w:name="StatLink">
    <w:panose1 w:val="02000000000000000000"/>
    <w:charset w:val="00"/>
    <w:family w:val="auto"/>
    <w:pitch w:val="variable"/>
    <w:sig w:usb0="80000003" w:usb1="00000000" w:usb2="00000000" w:usb3="00000000" w:csb0="00000001" w:csb1="00000000"/>
  </w:font>
  <w:font w:name="Caecilia Roman">
    <w:panose1 w:val="00000000000000000000"/>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3231" w14:textId="73F88521" w:rsidR="00AD5BE6" w:rsidRDefault="000B07EA" w:rsidP="00AD294B">
    <w:pPr>
      <w:pStyle w:val="Footer"/>
      <w:jc w:val="right"/>
    </w:pPr>
    <w:sdt>
      <w:sdtPr>
        <w:alias w:val="Document Title"/>
        <w:tag w:val="FooterDocTitle"/>
        <w:id w:val="-2018380169"/>
        <w:lock w:val="sdtLocked"/>
        <w:showingPlcHdr/>
        <w:text/>
      </w:sdtPr>
      <w:sdtEndPr/>
      <w:sdtContent>
        <w:r w:rsidR="00AD5BE6">
          <w:t xml:space="preserve">     </w:t>
        </w:r>
      </w:sdtContent>
    </w:sdt>
  </w:p>
  <w:p w14:paraId="6E4E3232" w14:textId="7773D7FA" w:rsidR="00AD5BE6" w:rsidRPr="000B5552" w:rsidRDefault="000B07EA" w:rsidP="00BA75D6">
    <w:pPr>
      <w:pStyle w:val="FooterClassification"/>
      <w:jc w:val="left"/>
    </w:pPr>
    <w:sdt>
      <w:sdtPr>
        <w:alias w:val="Classification"/>
        <w:tag w:val="txtHeaderClassif"/>
        <w:id w:val="-2024160818"/>
        <w:lock w:val="sdtLocked"/>
        <w:showingPlcHdr/>
      </w:sdtPr>
      <w:sdtEndPr/>
      <w:sdtContent>
        <w:r w:rsidR="00AD5BE6">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3234" w14:textId="3A2D2986" w:rsidR="00AD5BE6" w:rsidRPr="00E929D3" w:rsidRDefault="000B07EA" w:rsidP="00C4025B">
    <w:pPr>
      <w:pStyle w:val="FooterClassification"/>
      <w:rPr>
        <w:rStyle w:val="PageNumber"/>
        <w:b w:val="0"/>
        <w:sz w:val="12"/>
        <w:szCs w:val="20"/>
      </w:rPr>
    </w:pPr>
    <w:sdt>
      <w:sdtPr>
        <w:alias w:val="Classification"/>
        <w:tag w:val="txtHeaderClassif"/>
        <w:id w:val="802437899"/>
        <w:lock w:val="sdtLocked"/>
        <w:showingPlcHdr/>
      </w:sdtPr>
      <w:sdtEndPr/>
      <w:sdtContent>
        <w:r w:rsidR="00AD5BE6">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975A" w14:textId="77777777" w:rsidR="008D4F2B" w:rsidRDefault="008D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E3225" w14:textId="77777777" w:rsidR="00AD5BE6" w:rsidRDefault="00AD5BE6">
      <w:r>
        <w:separator/>
      </w:r>
    </w:p>
  </w:footnote>
  <w:footnote w:type="continuationSeparator" w:id="0">
    <w:p w14:paraId="6E4E3226" w14:textId="77777777" w:rsidR="00AD5BE6" w:rsidRDefault="00AD5BE6">
      <w:r>
        <w:continuationSeparator/>
      </w:r>
    </w:p>
  </w:footnote>
  <w:footnote w:type="continuationNotice" w:id="1">
    <w:p w14:paraId="6E4E3227" w14:textId="77777777" w:rsidR="00AD5BE6" w:rsidRDefault="00AD5BE6"/>
  </w:footnote>
  <w:footnote w:id="2">
    <w:p w14:paraId="6E4E3237" w14:textId="730327D7" w:rsidR="00AD5BE6" w:rsidRPr="00917380" w:rsidRDefault="00AD5BE6" w:rsidP="00352F37">
      <w:pPr>
        <w:pStyle w:val="FootnoteText"/>
        <w:ind w:left="567" w:hanging="567"/>
        <w:rPr>
          <w:sz w:val="22"/>
          <w:szCs w:val="22"/>
        </w:rPr>
      </w:pPr>
      <w:r>
        <w:rPr>
          <w:rStyle w:val="FootnoteReference"/>
        </w:rPr>
        <w:footnoteRef/>
      </w:r>
      <w:r w:rsidRPr="00F934D3">
        <w:tab/>
      </w:r>
      <w:hyperlink r:id="rId1" w:history="1">
        <w:r w:rsidRPr="00AA635B">
          <w:rPr>
            <w:rStyle w:val="Hyperlink"/>
          </w:rPr>
          <w:t>www.fatf-gafi.org/media/fatf/documents/recommendations/pdfs/FATF_Recommendations.pdf</w:t>
        </w:r>
      </w:hyperlink>
      <w:r>
        <w:rPr>
          <w:rStyle w:val="Hyperlink"/>
        </w:rPr>
        <w:t xml:space="preserve">. </w:t>
      </w:r>
      <w:r w:rsidRPr="00AA635B">
        <w:rPr>
          <w:shd w:val="clear" w:color="auto" w:fill="FFFFFF"/>
        </w:rPr>
        <w:t>The FATF Standards are comprised of the</w:t>
      </w:r>
      <w:r w:rsidRPr="00AA635B">
        <w:rPr>
          <w:rStyle w:val="apple-converted-space"/>
          <w:shd w:val="clear" w:color="auto" w:fill="FFFFFF"/>
        </w:rPr>
        <w:t> </w:t>
      </w:r>
      <w:r w:rsidRPr="00AA635B">
        <w:rPr>
          <w:shd w:val="clear" w:color="auto" w:fill="FFFFFF"/>
        </w:rPr>
        <w:t>FATF Recommendations, their Interpretive Notes and applicable definitions from the Glossary.</w:t>
      </w:r>
    </w:p>
  </w:footnote>
  <w:footnote w:id="3">
    <w:p w14:paraId="6E4E3239" w14:textId="77777777" w:rsidR="00AD5BE6" w:rsidRPr="005C7EEB" w:rsidRDefault="00AD5BE6" w:rsidP="00352F37">
      <w:pPr>
        <w:pStyle w:val="FootnoteText"/>
        <w:ind w:left="567" w:hanging="567"/>
      </w:pPr>
      <w:r>
        <w:rPr>
          <w:rStyle w:val="FootnoteReference"/>
        </w:rPr>
        <w:footnoteRef/>
      </w:r>
      <w:r>
        <w:tab/>
      </w:r>
      <w:r w:rsidRPr="00AA635B">
        <w:t xml:space="preserve">The FATF has already reviewed its RBA </w:t>
      </w:r>
      <w:r>
        <w:t>G</w:t>
      </w:r>
      <w:r w:rsidRPr="00AA635B">
        <w:t xml:space="preserve">uidance papers for the banking sector (2014) and for the MVTS sector (2016). It is in the process of developing a new RBA Guidance for the Securities sector. The other RBA </w:t>
      </w:r>
      <w:r>
        <w:t>G</w:t>
      </w:r>
      <w:r w:rsidRPr="00AA635B">
        <w:t xml:space="preserve">uidance papers adopted between 2007 and 2009 (real estate agents, accountants, trust and company service providers, </w:t>
      </w:r>
      <w:proofErr w:type="gramStart"/>
      <w:r w:rsidRPr="00AA635B">
        <w:t>legal</w:t>
      </w:r>
      <w:proofErr w:type="gramEnd"/>
      <w:r w:rsidRPr="00AA635B">
        <w:t xml:space="preserve"> professionals, dealers in precious metals and stones, casinos) will also be reviewed to be consistent with the 2012 FATF Recommendations.</w:t>
      </w:r>
    </w:p>
  </w:footnote>
  <w:footnote w:id="4">
    <w:p w14:paraId="6E4E323A" w14:textId="77777777" w:rsidR="00AD5BE6" w:rsidRPr="00EA3EE0" w:rsidRDefault="00AD5BE6" w:rsidP="00352F37">
      <w:pPr>
        <w:pStyle w:val="FootnoteText"/>
        <w:ind w:left="567" w:hanging="567"/>
      </w:pPr>
      <w:r>
        <w:rPr>
          <w:rStyle w:val="FootnoteReference"/>
        </w:rPr>
        <w:footnoteRef/>
      </w:r>
      <w:r>
        <w:t xml:space="preserve"> </w:t>
      </w:r>
      <w:r>
        <w:tab/>
      </w:r>
      <w:r w:rsidRPr="00EA3EE0">
        <w:t xml:space="preserve">The FATF Drafting Group was composed of representatives from FATF members and </w:t>
      </w:r>
      <w:r>
        <w:t>o</w:t>
      </w:r>
      <w:r w:rsidRPr="00EA3EE0">
        <w:t>bservers (</w:t>
      </w:r>
      <w:r>
        <w:t>France, IAIS,</w:t>
      </w:r>
      <w:r w:rsidRPr="00EA3EE0">
        <w:t xml:space="preserve"> Luxembourg</w:t>
      </w:r>
      <w:r>
        <w:t>,</w:t>
      </w:r>
      <w:r w:rsidRPr="00EA3EE0">
        <w:t xml:space="preserve"> </w:t>
      </w:r>
      <w:r>
        <w:t xml:space="preserve">Singapore and </w:t>
      </w:r>
      <w:r w:rsidRPr="00EA3EE0">
        <w:t>South Africa) and from the private sector (</w:t>
      </w:r>
      <w:r>
        <w:t xml:space="preserve">Aon UK, AXA, </w:t>
      </w:r>
      <w:r w:rsidRPr="00EA3EE0">
        <w:t xml:space="preserve">Generali, </w:t>
      </w:r>
      <w:r>
        <w:t>Manulife).</w:t>
      </w:r>
    </w:p>
  </w:footnote>
  <w:footnote w:id="5">
    <w:p w14:paraId="6E4E323B" w14:textId="1034A7B4" w:rsidR="00AD5BE6" w:rsidRPr="000F1C9F" w:rsidRDefault="00AD5BE6" w:rsidP="00352F37">
      <w:pPr>
        <w:tabs>
          <w:tab w:val="clear" w:pos="850"/>
          <w:tab w:val="clear" w:pos="1191"/>
          <w:tab w:val="clear" w:pos="1531"/>
        </w:tabs>
        <w:autoSpaceDE w:val="0"/>
        <w:autoSpaceDN w:val="0"/>
        <w:adjustRightInd w:val="0"/>
        <w:ind w:left="567" w:hanging="567"/>
        <w:jc w:val="left"/>
        <w:rPr>
          <w:sz w:val="20"/>
        </w:rPr>
      </w:pPr>
      <w:r w:rsidRPr="000F1C9F">
        <w:rPr>
          <w:rStyle w:val="FootnoteReference"/>
          <w:sz w:val="20"/>
        </w:rPr>
        <w:footnoteRef/>
      </w:r>
      <w:r w:rsidRPr="000F1C9F">
        <w:rPr>
          <w:sz w:val="20"/>
        </w:rPr>
        <w:t xml:space="preserve"> </w:t>
      </w:r>
      <w:r>
        <w:rPr>
          <w:sz w:val="20"/>
        </w:rPr>
        <w:tab/>
        <w:t xml:space="preserve">In accordance with </w:t>
      </w:r>
      <w:hyperlink r:id="rId2" w:history="1">
        <w:r w:rsidRPr="000F1C9F">
          <w:rPr>
            <w:rStyle w:val="Hyperlink"/>
            <w:sz w:val="20"/>
          </w:rPr>
          <w:t>IAIS Insurance Core Principles</w:t>
        </w:r>
      </w:hyperlink>
      <w:r>
        <w:rPr>
          <w:rStyle w:val="Hyperlink"/>
          <w:sz w:val="20"/>
        </w:rPr>
        <w:t xml:space="preserve"> (ICPs)</w:t>
      </w:r>
      <w:r>
        <w:rPr>
          <w:sz w:val="20"/>
        </w:rPr>
        <w:t xml:space="preserve">, </w:t>
      </w:r>
      <w:r w:rsidRPr="000F1C9F">
        <w:rPr>
          <w:sz w:val="20"/>
        </w:rPr>
        <w:t>the term “insurer” means insurance legal entities, insurance groups and insurance-led financial conglomerates</w:t>
      </w:r>
      <w:r>
        <w:rPr>
          <w:sz w:val="20"/>
        </w:rPr>
        <w:t>.</w:t>
      </w:r>
    </w:p>
  </w:footnote>
  <w:footnote w:id="6">
    <w:p w14:paraId="6E4E323C" w14:textId="77777777" w:rsidR="00AD5BE6" w:rsidRPr="000F1C9F" w:rsidRDefault="00AD5BE6" w:rsidP="00352F37">
      <w:pPr>
        <w:pStyle w:val="FootnoteText"/>
        <w:ind w:left="567" w:hanging="567"/>
      </w:pPr>
      <w:r>
        <w:rPr>
          <w:rStyle w:val="FootnoteReference"/>
        </w:rPr>
        <w:footnoteRef/>
      </w:r>
      <w:r>
        <w:t xml:space="preserve"> </w:t>
      </w:r>
      <w:r>
        <w:tab/>
        <w:t>See IAIS ICP 18 for activities performed by intermediaries.</w:t>
      </w:r>
    </w:p>
  </w:footnote>
  <w:footnote w:id="7">
    <w:p w14:paraId="6E4E323D" w14:textId="77777777" w:rsidR="00AD5BE6" w:rsidRPr="00FE1C0F" w:rsidRDefault="00AD5BE6" w:rsidP="00352F37">
      <w:pPr>
        <w:pStyle w:val="FootnoteText"/>
        <w:ind w:left="567" w:hanging="567"/>
      </w:pPr>
      <w:r>
        <w:rPr>
          <w:rStyle w:val="FootnoteReference"/>
        </w:rPr>
        <w:footnoteRef/>
      </w:r>
      <w:r>
        <w:t xml:space="preserve"> </w:t>
      </w:r>
      <w:r>
        <w:tab/>
      </w:r>
      <w:proofErr w:type="gramStart"/>
      <w:r w:rsidRPr="00EA3EE0">
        <w:t>See FATF glossary of financial institutions (point 12) “underwriting and placement of life insurance and other investment-related insurance.”</w:t>
      </w:r>
      <w:proofErr w:type="gramEnd"/>
    </w:p>
  </w:footnote>
  <w:footnote w:id="8">
    <w:p w14:paraId="6E4E323E" w14:textId="7F0563B6" w:rsidR="00AD5BE6" w:rsidRDefault="00AD5BE6" w:rsidP="00352F37">
      <w:pPr>
        <w:pStyle w:val="FootnoteText"/>
        <w:ind w:left="567" w:hanging="567"/>
      </w:pPr>
      <w:r>
        <w:rPr>
          <w:rStyle w:val="FootnoteReference"/>
        </w:rPr>
        <w:footnoteRef/>
      </w:r>
      <w:r>
        <w:t xml:space="preserve"> </w:t>
      </w:r>
      <w:r>
        <w:tab/>
      </w:r>
      <w:r w:rsidRPr="00EA3EE0">
        <w:t xml:space="preserve">Life insurance activities are activities or operations described in the FATF Glossary under “Financial institutions”, in particular 12. Further details are </w:t>
      </w:r>
      <w:r w:rsidRPr="00011E74">
        <w:t>provided in para 8 of</w:t>
      </w:r>
      <w:r w:rsidRPr="00EA3EE0">
        <w:t xml:space="preserve"> the present paper.</w:t>
      </w:r>
      <w:r>
        <w:t xml:space="preserve"> </w:t>
      </w:r>
    </w:p>
  </w:footnote>
  <w:footnote w:id="9">
    <w:p w14:paraId="6E4E323F" w14:textId="6E1CDAF1" w:rsidR="00AD5BE6" w:rsidRDefault="00AD5BE6" w:rsidP="00011E74">
      <w:pPr>
        <w:pStyle w:val="FootnoteText"/>
        <w:ind w:left="567" w:hanging="567"/>
      </w:pPr>
      <w:r w:rsidRPr="00011E74">
        <w:rPr>
          <w:rStyle w:val="FootnoteReference"/>
        </w:rPr>
        <w:footnoteRef/>
      </w:r>
      <w:r>
        <w:tab/>
      </w:r>
      <w:r w:rsidRPr="00011E74">
        <w:t>IAIS Insurance Core Principles, including ICP 22 on AML/CFT, cover both life and non-life insurance activities.</w:t>
      </w:r>
    </w:p>
  </w:footnote>
  <w:footnote w:id="10">
    <w:p w14:paraId="6E4E3241" w14:textId="2D2C0CA3" w:rsidR="00AD5BE6" w:rsidRPr="00C64301" w:rsidRDefault="00AD5BE6" w:rsidP="00547963">
      <w:pPr>
        <w:pStyle w:val="Para"/>
        <w:numPr>
          <w:ilvl w:val="0"/>
          <w:numId w:val="0"/>
        </w:numPr>
      </w:pPr>
      <w:r w:rsidRPr="00C64301">
        <w:rPr>
          <w:rStyle w:val="FootnoteReference"/>
          <w:sz w:val="20"/>
        </w:rPr>
        <w:footnoteRef/>
      </w:r>
      <w:r w:rsidRPr="00C64301">
        <w:rPr>
          <w:sz w:val="20"/>
        </w:rPr>
        <w:t xml:space="preserve"> </w:t>
      </w:r>
      <w:r w:rsidRPr="00A10D8D">
        <w:rPr>
          <w:sz w:val="20"/>
        </w:rPr>
        <w:t>This Guidance focuses solely on the abuse of the life and similar insurance products for ML/TF purposes. It does not purport to describe controls which financial institutions may be required to implement to prevent or detect insurance fraud, which describes situations where a false or fraudulent claim is made against a life insurance policy</w:t>
      </w:r>
      <w:r>
        <w:rPr>
          <w:sz w:val="20"/>
        </w:rPr>
        <w:t xml:space="preserve"> (ICP 21)</w:t>
      </w:r>
      <w:r w:rsidRPr="00A10D8D">
        <w:rPr>
          <w:sz w:val="20"/>
        </w:rPr>
        <w:t>. In some cases, insurance fraud is associated to ML/TF activities.</w:t>
      </w:r>
    </w:p>
  </w:footnote>
  <w:footnote w:id="11">
    <w:p w14:paraId="6E4E3242" w14:textId="77777777" w:rsidR="00AD5BE6" w:rsidRPr="005B4E7F" w:rsidRDefault="00AD5BE6" w:rsidP="00352F37">
      <w:pPr>
        <w:pStyle w:val="FootnoteText"/>
        <w:ind w:left="567" w:hanging="567"/>
      </w:pPr>
      <w:r>
        <w:rPr>
          <w:rStyle w:val="FootnoteReference"/>
        </w:rPr>
        <w:footnoteRef/>
      </w:r>
      <w:r>
        <w:t xml:space="preserve"> </w:t>
      </w:r>
      <w:r>
        <w:tab/>
        <w:t>The term “broker” is frequently used in some countries (e.g. France)</w:t>
      </w:r>
    </w:p>
  </w:footnote>
  <w:footnote w:id="12">
    <w:p w14:paraId="6E4E3243" w14:textId="77777777" w:rsidR="00AD5BE6" w:rsidRPr="00FE1C0F" w:rsidRDefault="00AD5BE6" w:rsidP="00352F37">
      <w:pPr>
        <w:pStyle w:val="FootnoteText"/>
        <w:ind w:left="567" w:hanging="567"/>
      </w:pPr>
      <w:r>
        <w:rPr>
          <w:rStyle w:val="FootnoteReference"/>
        </w:rPr>
        <w:footnoteRef/>
      </w:r>
      <w:r>
        <w:t xml:space="preserve"> </w:t>
      </w:r>
      <w:r>
        <w:tab/>
      </w:r>
      <w:r w:rsidRPr="00BB47A1">
        <w:t xml:space="preserve">See FATF Recommendation 18 and 2017 </w:t>
      </w:r>
      <w:hyperlink r:id="rId3" w:history="1">
        <w:r w:rsidRPr="00CD535D">
          <w:rPr>
            <w:rStyle w:val="Hyperlink"/>
            <w:i/>
          </w:rPr>
          <w:t>FATF Guidance on Private Sector Information sharing</w:t>
        </w:r>
      </w:hyperlink>
      <w:r>
        <w:rPr>
          <w:i/>
        </w:rPr>
        <w:t>.</w:t>
      </w:r>
    </w:p>
  </w:footnote>
  <w:footnote w:id="13">
    <w:p w14:paraId="6E4E3244" w14:textId="77777777" w:rsidR="00AD5BE6" w:rsidRPr="00FE1C0F" w:rsidRDefault="00AD5BE6" w:rsidP="00352F37">
      <w:pPr>
        <w:pStyle w:val="FootnoteText"/>
        <w:ind w:left="567" w:hanging="567"/>
      </w:pPr>
      <w:r>
        <w:rPr>
          <w:rStyle w:val="FootnoteReference"/>
        </w:rPr>
        <w:footnoteRef/>
      </w:r>
      <w:r>
        <w:t xml:space="preserve"> </w:t>
      </w:r>
      <w:r>
        <w:tab/>
      </w:r>
      <w:r w:rsidRPr="002400B5">
        <w:t>Including both physical and natural persons, see definition of “Financial institutions” in the FATF Glossary.</w:t>
      </w:r>
    </w:p>
  </w:footnote>
  <w:footnote w:id="14">
    <w:p w14:paraId="6E4E3245" w14:textId="77777777" w:rsidR="00AD5BE6" w:rsidRPr="00FE1C0F" w:rsidRDefault="00AD5BE6" w:rsidP="00352F37">
      <w:pPr>
        <w:pStyle w:val="FootnoteText"/>
        <w:ind w:left="567" w:hanging="567"/>
      </w:pPr>
      <w:r>
        <w:rPr>
          <w:rStyle w:val="FootnoteReference"/>
        </w:rPr>
        <w:footnoteRef/>
      </w:r>
      <w:r>
        <w:t xml:space="preserve"> </w:t>
      </w:r>
      <w:r>
        <w:tab/>
      </w:r>
      <w:hyperlink r:id="rId4" w:history="1">
        <w:proofErr w:type="gramStart"/>
        <w:r w:rsidRPr="002400B5">
          <w:rPr>
            <w:rStyle w:val="Hyperlink"/>
          </w:rPr>
          <w:t>FATF Guidance National Money Laundering and Terrorist Financing Risk Assessment</w:t>
        </w:r>
      </w:hyperlink>
      <w:r w:rsidRPr="002400B5">
        <w:t>, par. 10.</w:t>
      </w:r>
      <w:proofErr w:type="gramEnd"/>
      <w:r w:rsidRPr="002400B5">
        <w:t xml:space="preserve"> See also Sections II A and III A for further details on identifying and assessing ML/TF risk.</w:t>
      </w:r>
    </w:p>
  </w:footnote>
  <w:footnote w:id="15">
    <w:p w14:paraId="6E4E3246" w14:textId="77777777" w:rsidR="00AD5BE6" w:rsidRPr="00FE1C0F" w:rsidRDefault="00AD5BE6" w:rsidP="00352F37">
      <w:pPr>
        <w:pStyle w:val="FootnoteText"/>
        <w:ind w:left="567" w:hanging="567"/>
      </w:pPr>
      <w:r>
        <w:rPr>
          <w:rStyle w:val="FootnoteReference"/>
        </w:rPr>
        <w:footnoteRef/>
      </w:r>
      <w:r>
        <w:t xml:space="preserve"> </w:t>
      </w:r>
      <w:r w:rsidRPr="00FE1C0F">
        <w:tab/>
      </w:r>
      <w:proofErr w:type="gramStart"/>
      <w:r w:rsidRPr="00FE1C0F">
        <w:t>R.1.</w:t>
      </w:r>
      <w:proofErr w:type="gramEnd"/>
    </w:p>
  </w:footnote>
  <w:footnote w:id="16">
    <w:p w14:paraId="6E4E3247" w14:textId="77777777" w:rsidR="00AD5BE6" w:rsidRPr="00BF3C38" w:rsidRDefault="00AD5BE6" w:rsidP="00352F37">
      <w:pPr>
        <w:tabs>
          <w:tab w:val="clear" w:pos="850"/>
          <w:tab w:val="clear" w:pos="1191"/>
          <w:tab w:val="left" w:pos="1560"/>
        </w:tabs>
        <w:kinsoku w:val="0"/>
        <w:overflowPunct w:val="0"/>
        <w:autoSpaceDE w:val="0"/>
        <w:autoSpaceDN w:val="0"/>
        <w:adjustRightInd w:val="0"/>
        <w:spacing w:before="120"/>
        <w:ind w:left="567" w:right="652" w:hanging="567"/>
        <w:rPr>
          <w:sz w:val="20"/>
        </w:rPr>
      </w:pPr>
      <w:r w:rsidRPr="00BF3C38">
        <w:rPr>
          <w:rStyle w:val="FootnoteReference"/>
          <w:sz w:val="20"/>
        </w:rPr>
        <w:footnoteRef/>
      </w:r>
      <w:r w:rsidRPr="00BF3C38">
        <w:rPr>
          <w:sz w:val="20"/>
        </w:rPr>
        <w:t xml:space="preserve"> </w:t>
      </w:r>
      <w:r w:rsidRPr="00BF3C38">
        <w:rPr>
          <w:sz w:val="20"/>
        </w:rPr>
        <w:tab/>
        <w:t>Two important rule-based sets of AML/CFT measures have to be highlighted</w:t>
      </w:r>
      <w:r>
        <w:rPr>
          <w:sz w:val="20"/>
        </w:rPr>
        <w:t xml:space="preserve"> as they are part of the</w:t>
      </w:r>
      <w:r w:rsidRPr="00BF3C38">
        <w:rPr>
          <w:sz w:val="20"/>
        </w:rPr>
        <w:t xml:space="preserve"> important step</w:t>
      </w:r>
      <w:r>
        <w:rPr>
          <w:sz w:val="20"/>
        </w:rPr>
        <w:t>s</w:t>
      </w:r>
      <w:r w:rsidRPr="00BF3C38">
        <w:rPr>
          <w:sz w:val="20"/>
        </w:rPr>
        <w:t xml:space="preserve"> to </w:t>
      </w:r>
      <w:r>
        <w:rPr>
          <w:sz w:val="20"/>
        </w:rPr>
        <w:t>CFT</w:t>
      </w:r>
      <w:r w:rsidRPr="00BF3C38">
        <w:rPr>
          <w:sz w:val="20"/>
        </w:rPr>
        <w:t xml:space="preserve"> or of </w:t>
      </w:r>
      <w:r>
        <w:rPr>
          <w:sz w:val="20"/>
        </w:rPr>
        <w:t>counter-</w:t>
      </w:r>
      <w:r w:rsidRPr="00BF3C38">
        <w:rPr>
          <w:sz w:val="20"/>
        </w:rPr>
        <w:t>proliferation of weapons of mass destruction (PF)</w:t>
      </w:r>
      <w:r>
        <w:rPr>
          <w:sz w:val="20"/>
        </w:rPr>
        <w:t xml:space="preserve">. First, </w:t>
      </w:r>
      <w:r w:rsidRPr="00BF3C38">
        <w:rPr>
          <w:sz w:val="20"/>
        </w:rPr>
        <w:t>FATF R</w:t>
      </w:r>
      <w:r>
        <w:rPr>
          <w:sz w:val="20"/>
        </w:rPr>
        <w:t>.</w:t>
      </w:r>
      <w:r w:rsidRPr="00BF3C38">
        <w:rPr>
          <w:sz w:val="20"/>
        </w:rPr>
        <w:t xml:space="preserve"> 26 requires countries to ensure that </w:t>
      </w:r>
      <w:r>
        <w:rPr>
          <w:sz w:val="20"/>
        </w:rPr>
        <w:t xml:space="preserve">life </w:t>
      </w:r>
      <w:r w:rsidRPr="00BF3C38">
        <w:rPr>
          <w:sz w:val="20"/>
        </w:rPr>
        <w:t>insurers and intermediaries are licensed or registered by a competent authority, and that supervisors implement controls to prevent criminals and their associates from holding, or being the beneficial owner of a significant or controlling interest or holding a management function in companies of the insurance sector. Second, all reporting entities, including</w:t>
      </w:r>
      <w:r>
        <w:rPr>
          <w:sz w:val="20"/>
        </w:rPr>
        <w:t xml:space="preserve"> life</w:t>
      </w:r>
      <w:r w:rsidRPr="00BF3C38">
        <w:rPr>
          <w:sz w:val="20"/>
        </w:rPr>
        <w:t xml:space="preserve"> insur</w:t>
      </w:r>
      <w:r>
        <w:rPr>
          <w:sz w:val="20"/>
        </w:rPr>
        <w:t xml:space="preserve">ers </w:t>
      </w:r>
      <w:r w:rsidRPr="00BF3C38">
        <w:rPr>
          <w:sz w:val="20"/>
        </w:rPr>
        <w:t xml:space="preserve">and intermediaries, </w:t>
      </w:r>
      <w:r>
        <w:rPr>
          <w:sz w:val="20"/>
        </w:rPr>
        <w:t xml:space="preserve">have </w:t>
      </w:r>
      <w:r w:rsidRPr="00BF3C38">
        <w:rPr>
          <w:sz w:val="20"/>
        </w:rPr>
        <w:t>to comply with targeted financial sanctions directed at people or organisations sanctioned for reasons related to terrorism or the financing of proliferation. Measures should be taken to comply with national and international sanctions legislation by screening the customer, the beneficial owners, the beneficiary of the life insurance contract and its beneficial owners against the UN and other applicable sanctions lists. This regime is not subject to a RBA as it is a rule-based requirement. Consequently, it falls outside the scope of this Guidance (FATF Recommendations 6 and 7).</w:t>
      </w:r>
    </w:p>
  </w:footnote>
  <w:footnote w:id="17">
    <w:p w14:paraId="6E4E3248" w14:textId="77777777" w:rsidR="00AD5BE6" w:rsidRPr="00FE1C0F" w:rsidRDefault="00AD5BE6" w:rsidP="00352F37">
      <w:pPr>
        <w:pStyle w:val="FootnoteText"/>
        <w:ind w:left="567" w:hanging="567"/>
      </w:pPr>
      <w:r>
        <w:rPr>
          <w:rStyle w:val="FootnoteReference"/>
        </w:rPr>
        <w:footnoteRef/>
      </w:r>
      <w:r>
        <w:t xml:space="preserve"> </w:t>
      </w:r>
      <w:r>
        <w:tab/>
        <w:t xml:space="preserve">The effectiveness of risk-based prevention and mitigation measures is assessed as part of the mutual evaluation of the national AML/CFT regime. </w:t>
      </w:r>
      <w:r>
        <w:rPr>
          <w:shd w:val="clear" w:color="auto" w:fill="FFFFFF"/>
        </w:rPr>
        <w:t xml:space="preserve">The effectiveness assessment measures the extent to which a country achieves a defined set of outcomes that are central to a robust AML/CFT system and analyses the extent to which a country’s legal and institutional framework is producing the expected results. Assessors need to take the risks, and the flexibility allowed by the RBA, into account when determining whether there are deficiencies in a country’s AML/CFT measures, and their importance - </w:t>
      </w:r>
      <w:hyperlink r:id="rId5" w:history="1">
        <w:r>
          <w:rPr>
            <w:rStyle w:val="Hyperlink"/>
            <w:i/>
            <w:lang w:val="en-US"/>
          </w:rPr>
          <w:t xml:space="preserve">FATF </w:t>
        </w:r>
        <w:r>
          <w:rPr>
            <w:rStyle w:val="Hyperlink"/>
            <w:i/>
            <w:shd w:val="clear" w:color="auto" w:fill="FFFFFF"/>
          </w:rPr>
          <w:t>Methodology for assessing technical compliance with the FATF Recommendations and the Effectiveness of AML/CFT systems</w:t>
        </w:r>
      </w:hyperlink>
      <w:r>
        <w:rPr>
          <w:rStyle w:val="Emphasis"/>
          <w:color w:val="333333"/>
          <w:shd w:val="clear" w:color="auto" w:fill="FFFFFF"/>
        </w:rPr>
        <w:t xml:space="preserve"> (2013)</w:t>
      </w:r>
      <w:r w:rsidRPr="00043AF5">
        <w:rPr>
          <w:rStyle w:val="Emphasis"/>
          <w:i w:val="0"/>
          <w:color w:val="333333"/>
          <w:shd w:val="clear" w:color="auto" w:fill="FFFFFF"/>
        </w:rPr>
        <w:t>.</w:t>
      </w:r>
    </w:p>
  </w:footnote>
  <w:footnote w:id="18">
    <w:p w14:paraId="6E4E3249" w14:textId="77777777" w:rsidR="00AD5BE6" w:rsidRPr="00FE1C0F" w:rsidRDefault="00AD5BE6" w:rsidP="00352F37">
      <w:pPr>
        <w:pStyle w:val="FootnoteText"/>
        <w:ind w:left="567" w:hanging="567"/>
      </w:pPr>
      <w:r>
        <w:rPr>
          <w:rStyle w:val="FootnoteReference"/>
        </w:rPr>
        <w:footnoteRef/>
      </w:r>
      <w:r>
        <w:t xml:space="preserve"> </w:t>
      </w:r>
      <w:r>
        <w:tab/>
      </w:r>
      <w:r w:rsidRPr="002400B5">
        <w:t>See Glossary, definitions of “Financial institutions” and “Designated non-financial businesses and professions”.</w:t>
      </w:r>
    </w:p>
  </w:footnote>
  <w:footnote w:id="19">
    <w:p w14:paraId="6E4E324A" w14:textId="77777777" w:rsidR="00AD5BE6" w:rsidRPr="00FE1C0F" w:rsidRDefault="00AD5BE6" w:rsidP="00352F37">
      <w:pPr>
        <w:pStyle w:val="FootnoteText"/>
        <w:ind w:left="567" w:hanging="567"/>
      </w:pPr>
      <w:r>
        <w:rPr>
          <w:rStyle w:val="FootnoteReference"/>
        </w:rPr>
        <w:footnoteRef/>
      </w:r>
      <w:r>
        <w:t xml:space="preserve"> </w:t>
      </w:r>
      <w:r>
        <w:tab/>
      </w:r>
      <w:r w:rsidRPr="00DD2686">
        <w:t>INR 1, paragraph 6.</w:t>
      </w:r>
    </w:p>
  </w:footnote>
  <w:footnote w:id="20">
    <w:p w14:paraId="6E4E324B" w14:textId="77777777" w:rsidR="00AD5BE6" w:rsidRPr="00FE1C0F" w:rsidRDefault="00AD5BE6" w:rsidP="00352F37">
      <w:pPr>
        <w:pStyle w:val="FootnoteText"/>
        <w:ind w:left="567" w:hanging="567"/>
      </w:pPr>
      <w:r>
        <w:rPr>
          <w:rStyle w:val="FootnoteReference"/>
        </w:rPr>
        <w:footnoteRef/>
      </w:r>
      <w:r>
        <w:t xml:space="preserve"> </w:t>
      </w:r>
      <w:r>
        <w:tab/>
      </w:r>
      <w:r>
        <w:rPr>
          <w:lang w:val="en-US"/>
        </w:rPr>
        <w:t>R. 10; INR 10, footnote 33.</w:t>
      </w:r>
    </w:p>
  </w:footnote>
  <w:footnote w:id="21">
    <w:p w14:paraId="6E4E324C" w14:textId="77777777" w:rsidR="00AD5BE6" w:rsidRPr="00FE1C0F" w:rsidRDefault="00AD5BE6" w:rsidP="00352F37">
      <w:pPr>
        <w:pStyle w:val="FootnoteText"/>
        <w:ind w:left="567" w:hanging="567"/>
      </w:pPr>
      <w:r>
        <w:rPr>
          <w:rStyle w:val="FootnoteReference"/>
        </w:rPr>
        <w:footnoteRef/>
      </w:r>
      <w:r>
        <w:t xml:space="preserve"> </w:t>
      </w:r>
      <w:r>
        <w:tab/>
        <w:t>This could be based on a combination of elements described in Section II, as well as objective criteria such as mutual evaluation reports, follow-up reports or FSAP.</w:t>
      </w:r>
    </w:p>
  </w:footnote>
  <w:footnote w:id="22">
    <w:p w14:paraId="6E4E324D" w14:textId="77777777" w:rsidR="00AD5BE6" w:rsidRPr="00DD2686" w:rsidRDefault="00AD5BE6" w:rsidP="00352F37">
      <w:pPr>
        <w:pStyle w:val="FootnoteText"/>
        <w:ind w:left="567" w:hanging="567"/>
      </w:pPr>
      <w:r>
        <w:rPr>
          <w:rStyle w:val="FootnoteReference"/>
        </w:rPr>
        <w:footnoteRef/>
      </w:r>
      <w:r>
        <w:t xml:space="preserve"> </w:t>
      </w:r>
      <w:r>
        <w:tab/>
        <w:t xml:space="preserve">See </w:t>
      </w:r>
      <w:r w:rsidRPr="00D82247">
        <w:rPr>
          <w:i/>
        </w:rPr>
        <w:t>FATF Guidance on effective supervision and enforcement by AML/CFT supervisors of the financial sector and law enforcement</w:t>
      </w:r>
      <w:r>
        <w:t>.</w:t>
      </w:r>
    </w:p>
  </w:footnote>
  <w:footnote w:id="23">
    <w:p w14:paraId="6E4E324E" w14:textId="77777777" w:rsidR="00AD5BE6" w:rsidRPr="00FE1C0F" w:rsidRDefault="00AD5BE6" w:rsidP="00352F37">
      <w:pPr>
        <w:pStyle w:val="FootnoteText"/>
        <w:ind w:left="567" w:hanging="567"/>
      </w:pPr>
      <w:r>
        <w:rPr>
          <w:rStyle w:val="FootnoteReference"/>
        </w:rPr>
        <w:footnoteRef/>
      </w:r>
      <w:r>
        <w:t xml:space="preserve"> </w:t>
      </w:r>
      <w:r>
        <w:tab/>
      </w:r>
      <w:r w:rsidRPr="004C0991">
        <w:t xml:space="preserve">See R. 2, R.18, R. 20, R. 21 and </w:t>
      </w:r>
      <w:r w:rsidRPr="00D82247">
        <w:rPr>
          <w:i/>
        </w:rPr>
        <w:t>FATF Guidance on private sector information sharing</w:t>
      </w:r>
      <w:r>
        <w:t>.</w:t>
      </w:r>
    </w:p>
  </w:footnote>
  <w:footnote w:id="24">
    <w:p w14:paraId="6E4E324F" w14:textId="77777777" w:rsidR="00AD5BE6" w:rsidRPr="00FE1C0F" w:rsidRDefault="00AD5BE6" w:rsidP="00352F37">
      <w:pPr>
        <w:pStyle w:val="FootnoteText"/>
        <w:ind w:left="567" w:hanging="567"/>
      </w:pPr>
      <w:r>
        <w:rPr>
          <w:rStyle w:val="FootnoteReference"/>
        </w:rPr>
        <w:footnoteRef/>
      </w:r>
      <w:r>
        <w:t xml:space="preserve"> </w:t>
      </w:r>
      <w:r>
        <w:tab/>
      </w:r>
      <w:proofErr w:type="gramStart"/>
      <w:r>
        <w:rPr>
          <w:lang w:val="en-US"/>
        </w:rPr>
        <w:t>Subject to the national legal framework providing for Simplified Due Diligence.</w:t>
      </w:r>
      <w:proofErr w:type="gramEnd"/>
    </w:p>
  </w:footnote>
  <w:footnote w:id="25">
    <w:p w14:paraId="6E4E3251" w14:textId="77777777" w:rsidR="00AD5BE6" w:rsidRPr="00C97D2D" w:rsidRDefault="00AD5BE6" w:rsidP="00352F37">
      <w:pPr>
        <w:pStyle w:val="FootnoteText"/>
      </w:pPr>
      <w:r>
        <w:rPr>
          <w:rStyle w:val="FootnoteReference"/>
        </w:rPr>
        <w:footnoteRef/>
      </w:r>
      <w:r>
        <w:t xml:space="preserve"> </w:t>
      </w:r>
      <w:hyperlink r:id="rId6" w:history="1">
        <w:proofErr w:type="gramStart"/>
        <w:r w:rsidRPr="0034550F">
          <w:rPr>
            <w:rStyle w:val="Hyperlink"/>
            <w:i/>
          </w:rPr>
          <w:t>FATF Guidance on AML/CFT and Financial Inclusion</w:t>
        </w:r>
      </w:hyperlink>
      <w:r>
        <w:rPr>
          <w:rStyle w:val="Hyperlink"/>
          <w:i/>
        </w:rPr>
        <w:t>.</w:t>
      </w:r>
      <w:proofErr w:type="gramEnd"/>
    </w:p>
  </w:footnote>
  <w:footnote w:id="26">
    <w:p w14:paraId="6E4E3252" w14:textId="298AC7FE" w:rsidR="00AD5BE6" w:rsidRPr="00774FE3" w:rsidRDefault="00AD5BE6" w:rsidP="00352F37">
      <w:pPr>
        <w:pStyle w:val="FootnoteText"/>
        <w:ind w:left="567" w:hanging="567"/>
      </w:pPr>
      <w:r w:rsidRPr="00774FE3">
        <w:rPr>
          <w:rStyle w:val="FootnoteReference"/>
          <w:sz w:val="20"/>
        </w:rPr>
        <w:footnoteRef/>
      </w:r>
      <w:r w:rsidRPr="00774FE3">
        <w:t xml:space="preserve"> </w:t>
      </w:r>
      <w:r w:rsidRPr="00774FE3">
        <w:tab/>
      </w:r>
      <w:hyperlink r:id="rId7" w:history="1">
        <w:r w:rsidRPr="00CD535D">
          <w:rPr>
            <w:rStyle w:val="Hyperlink"/>
          </w:rPr>
          <w:t>Wolfsberg Frequently Asked Questions on Risk Assessments for Money Laundering, Sanctions and Bribery &amp; Corruption.</w:t>
        </w:r>
      </w:hyperlink>
      <w:r>
        <w:rPr>
          <w:rStyle w:val="Hyperlink"/>
        </w:rPr>
        <w:t xml:space="preserve"> </w:t>
      </w:r>
    </w:p>
  </w:footnote>
  <w:footnote w:id="27">
    <w:p w14:paraId="6E4E3253" w14:textId="14D7861C" w:rsidR="00AD5BE6" w:rsidRPr="000B67E9" w:rsidRDefault="00AD5BE6" w:rsidP="00352F37">
      <w:pPr>
        <w:tabs>
          <w:tab w:val="clear" w:pos="850"/>
          <w:tab w:val="clear" w:pos="1191"/>
          <w:tab w:val="left" w:pos="567"/>
        </w:tabs>
        <w:ind w:left="567" w:hanging="567"/>
        <w:rPr>
          <w:sz w:val="20"/>
          <w:lang w:val="en-US"/>
        </w:rPr>
      </w:pPr>
      <w:r>
        <w:rPr>
          <w:rStyle w:val="FootnoteReference"/>
        </w:rPr>
        <w:footnoteRef/>
      </w:r>
      <w:r>
        <w:t xml:space="preserve"> </w:t>
      </w:r>
      <w:r>
        <w:tab/>
      </w:r>
      <w:r w:rsidRPr="000B67E9">
        <w:rPr>
          <w:sz w:val="20"/>
        </w:rPr>
        <w:t>E</w:t>
      </w:r>
      <w:proofErr w:type="spellStart"/>
      <w:r w:rsidRPr="000B67E9">
        <w:rPr>
          <w:sz w:val="20"/>
          <w:lang w:val="en-US"/>
        </w:rPr>
        <w:t>xamples</w:t>
      </w:r>
      <w:proofErr w:type="spellEnd"/>
      <w:r w:rsidRPr="000B67E9">
        <w:rPr>
          <w:sz w:val="20"/>
          <w:lang w:val="en-US"/>
        </w:rPr>
        <w:t xml:space="preserve"> of risk factors, simplified and enhanced customer due diligence measures can also be found </w:t>
      </w:r>
      <w:proofErr w:type="gramStart"/>
      <w:r w:rsidRPr="000B67E9">
        <w:rPr>
          <w:sz w:val="20"/>
          <w:lang w:val="en-US"/>
        </w:rPr>
        <w:t>in  “</w:t>
      </w:r>
      <w:proofErr w:type="gramEnd"/>
      <w:r w:rsidR="000B07EA">
        <w:fldChar w:fldCharType="begin"/>
      </w:r>
      <w:r w:rsidR="000B07EA">
        <w:instrText xml:space="preserve"> HYPERLINK "https://www.eba.europa.eu/documents/10180/1890686/Final+Guidelines+on+Risk+Factors+%28JC+2017+37%29.pdf" </w:instrText>
      </w:r>
      <w:r w:rsidR="000B07EA">
        <w:fldChar w:fldCharType="separate"/>
      </w:r>
      <w:r w:rsidRPr="000B67E9">
        <w:rPr>
          <w:rStyle w:val="Hyperlink"/>
          <w:sz w:val="20"/>
          <w:lang w:val="en-US"/>
        </w:rPr>
        <w:t>The Risk Factors Guidelines</w:t>
      </w:r>
      <w:r w:rsidR="000B07EA">
        <w:rPr>
          <w:rStyle w:val="Hyperlink"/>
          <w:sz w:val="20"/>
          <w:lang w:val="en-US"/>
        </w:rPr>
        <w:fldChar w:fldCharType="end"/>
      </w:r>
      <w:r w:rsidRPr="000B67E9">
        <w:rPr>
          <w:sz w:val="20"/>
          <w:lang w:val="en-US"/>
        </w:rPr>
        <w:t>” (2017) of the European Supervisory Authorities (ESAs), which include the European Banking Authority (EBA), the European Insurance and Occupational Pensions Authority (EIOPA) and the European Securities and Markets Authority (ESMA)</w:t>
      </w:r>
      <w:r>
        <w:rPr>
          <w:sz w:val="20"/>
          <w:lang w:val="en-US"/>
        </w:rPr>
        <w:t xml:space="preserve">. </w:t>
      </w:r>
      <w:r w:rsidRPr="000B67E9">
        <w:rPr>
          <w:rStyle w:val="Hyperlink"/>
          <w:sz w:val="20"/>
        </w:rPr>
        <w:t>See also Annex C for examples of risk factors relevant for the ML/TF risk assessments of insurance entities.</w:t>
      </w:r>
    </w:p>
  </w:footnote>
  <w:footnote w:id="28">
    <w:p w14:paraId="6E4E3254" w14:textId="77777777" w:rsidR="00AD5BE6" w:rsidRPr="00E012EF" w:rsidRDefault="00AD5BE6" w:rsidP="00352F37">
      <w:pPr>
        <w:pStyle w:val="FootnoteText"/>
        <w:tabs>
          <w:tab w:val="left" w:pos="567"/>
        </w:tabs>
        <w:ind w:left="567" w:hanging="567"/>
      </w:pPr>
      <w:r>
        <w:rPr>
          <w:rStyle w:val="FootnoteReference"/>
        </w:rPr>
        <w:footnoteRef/>
      </w:r>
      <w:r w:rsidRPr="00E012EF">
        <w:t xml:space="preserve"> </w:t>
      </w:r>
      <w:r w:rsidRPr="00E012EF">
        <w:tab/>
        <w:t>ICP 22 Application Paper, para 42</w:t>
      </w:r>
    </w:p>
  </w:footnote>
  <w:footnote w:id="29">
    <w:p w14:paraId="6E4E3255" w14:textId="77777777" w:rsidR="00AD5BE6" w:rsidRPr="00321B1F" w:rsidRDefault="00AD5BE6" w:rsidP="00352F37">
      <w:pPr>
        <w:pStyle w:val="FootnoteText"/>
        <w:tabs>
          <w:tab w:val="left" w:pos="567"/>
        </w:tabs>
        <w:ind w:left="567" w:hanging="567"/>
      </w:pPr>
      <w:r>
        <w:rPr>
          <w:rStyle w:val="FootnoteReference"/>
        </w:rPr>
        <w:footnoteRef/>
      </w:r>
      <w:r>
        <w:t xml:space="preserve"> </w:t>
      </w:r>
      <w:r>
        <w:tab/>
        <w:t xml:space="preserve">ICP 22 on AML/CFT, 23 on Group-wide supervision and 25 on supervisory cooperation and coordination. Other potentially relevant ICPs are listed in Box 3. </w:t>
      </w:r>
    </w:p>
  </w:footnote>
  <w:footnote w:id="30">
    <w:p w14:paraId="7023588D" w14:textId="7238772B" w:rsidR="00AD5BE6" w:rsidRPr="0032166C" w:rsidRDefault="00AD5BE6" w:rsidP="0032166C">
      <w:pPr>
        <w:pStyle w:val="FootnoteText"/>
        <w:ind w:hanging="680"/>
      </w:pPr>
      <w:r>
        <w:rPr>
          <w:rStyle w:val="FootnoteReference"/>
        </w:rPr>
        <w:footnoteRef/>
      </w:r>
      <w:r>
        <w:t xml:space="preserve">          “Credible sources” refers to information that is produced by reputable and universally recognised international organisations and other bodies that make such information publicly and widely available. In addition to the FATF and FATF-style regional bodies, such sources may include, but are not limited to, supra-national or international bodies such as the International Monetary Fund, the World Bank and the Egmont Group of Financial Intelligence Units.</w:t>
      </w:r>
    </w:p>
  </w:footnote>
  <w:footnote w:id="31">
    <w:p w14:paraId="6E4E3256" w14:textId="754DA52D" w:rsidR="00AD5BE6" w:rsidRPr="00633909" w:rsidRDefault="00AD5BE6" w:rsidP="00352F37">
      <w:pPr>
        <w:pStyle w:val="FootnoteText"/>
      </w:pPr>
      <w:r>
        <w:rPr>
          <w:rStyle w:val="FootnoteReference"/>
        </w:rPr>
        <w:footnoteRef/>
      </w:r>
      <w:r>
        <w:t xml:space="preserve"> </w:t>
      </w:r>
      <w:r w:rsidRPr="00562CDB">
        <w:t>Ireland FATF Mutual Evaluation R</w:t>
      </w:r>
      <w:r>
        <w:t xml:space="preserve">eport, </w:t>
      </w:r>
      <w:r w:rsidRPr="00633909">
        <w:t>http://www.fatf-gafi.org/media/fatf/documents/reports/mer4/MER-Ireland-2017.pdf</w:t>
      </w:r>
    </w:p>
  </w:footnote>
  <w:footnote w:id="32">
    <w:p w14:paraId="6E4E3257" w14:textId="77777777" w:rsidR="00AD5BE6" w:rsidRPr="00633909" w:rsidRDefault="00AD5BE6" w:rsidP="00352F37">
      <w:pPr>
        <w:pStyle w:val="FootnoteText"/>
      </w:pPr>
      <w:r>
        <w:rPr>
          <w:rStyle w:val="FootnoteReference"/>
        </w:rPr>
        <w:footnoteRef/>
      </w:r>
      <w:r>
        <w:t xml:space="preserve"> </w:t>
      </w:r>
      <w:r w:rsidRPr="00562CDB">
        <w:t xml:space="preserve">Austria </w:t>
      </w:r>
      <w:r>
        <w:t xml:space="preserve">Mutual Evaluation Report, </w:t>
      </w:r>
      <w:r w:rsidRPr="00633909">
        <w:t>http://www.fatf-gafi.org/media/fatf/documents/reports/mer4/MER-Austria-2016.pdf</w:t>
      </w:r>
    </w:p>
  </w:footnote>
  <w:footnote w:id="33">
    <w:p w14:paraId="6E4E3258" w14:textId="77777777" w:rsidR="00AD5BE6" w:rsidRPr="00633909" w:rsidRDefault="00AD5BE6" w:rsidP="00352F37">
      <w:pPr>
        <w:pStyle w:val="FootnoteText"/>
      </w:pPr>
      <w:r>
        <w:rPr>
          <w:rStyle w:val="FootnoteReference"/>
        </w:rPr>
        <w:footnoteRef/>
      </w:r>
      <w:r>
        <w:t xml:space="preserve"> </w:t>
      </w:r>
      <w:r w:rsidRPr="00562CDB">
        <w:t xml:space="preserve">Sweden </w:t>
      </w:r>
      <w:r>
        <w:t xml:space="preserve">Mutual Evaluation Report, </w:t>
      </w:r>
      <w:r w:rsidRPr="00633909">
        <w:t>http://www.fatf-gafi.org/media/fatf/documents/reports/mer4/MER-Sweden-2017.pdf</w:t>
      </w:r>
    </w:p>
  </w:footnote>
  <w:footnote w:id="34">
    <w:p w14:paraId="6E4E3259" w14:textId="77777777" w:rsidR="00AD5BE6" w:rsidRPr="00FE1C0F" w:rsidRDefault="00AD5BE6" w:rsidP="00352F37">
      <w:pPr>
        <w:pStyle w:val="FootnoteText"/>
        <w:ind w:left="567" w:hanging="567"/>
      </w:pPr>
      <w:r>
        <w:rPr>
          <w:rStyle w:val="FootnoteReference"/>
        </w:rPr>
        <w:footnoteRef/>
      </w:r>
      <w:r>
        <w:t xml:space="preserve"> </w:t>
      </w:r>
      <w:r>
        <w:tab/>
      </w:r>
      <w:r w:rsidRPr="00954CCF">
        <w:t>See R. 18 and R. 26</w:t>
      </w:r>
      <w:r>
        <w:t>.</w:t>
      </w:r>
    </w:p>
  </w:footnote>
  <w:footnote w:id="35">
    <w:p w14:paraId="6E4E325A" w14:textId="77777777" w:rsidR="00AD5BE6" w:rsidRPr="00FE1C0F" w:rsidRDefault="00AD5BE6" w:rsidP="00352F37">
      <w:pPr>
        <w:pStyle w:val="FootnoteText"/>
        <w:ind w:left="567" w:hanging="567"/>
      </w:pPr>
      <w:r>
        <w:rPr>
          <w:rStyle w:val="FootnoteReference"/>
        </w:rPr>
        <w:footnoteRef/>
      </w:r>
      <w:r>
        <w:t xml:space="preserve"> </w:t>
      </w:r>
      <w:r>
        <w:tab/>
      </w:r>
      <w:r w:rsidRPr="00954CCF">
        <w:t>See ICP 22 and 23 of IAIS and in the case where the parent entity is a bank, see BCBS CP 8 and 12</w:t>
      </w:r>
      <w:r>
        <w:t>.</w:t>
      </w:r>
    </w:p>
  </w:footnote>
  <w:footnote w:id="36">
    <w:p w14:paraId="6E4E325B" w14:textId="77777777" w:rsidR="00AD5BE6" w:rsidRPr="00FE1C0F" w:rsidRDefault="00AD5BE6" w:rsidP="00352F37">
      <w:pPr>
        <w:pStyle w:val="FootnoteText"/>
        <w:ind w:left="567" w:hanging="567"/>
      </w:pPr>
      <w:r>
        <w:rPr>
          <w:rStyle w:val="FootnoteReference"/>
        </w:rPr>
        <w:footnoteRef/>
      </w:r>
      <w:r>
        <w:t xml:space="preserve"> </w:t>
      </w:r>
      <w:r>
        <w:tab/>
      </w:r>
      <w:hyperlink r:id="rId8" w:history="1">
        <w:proofErr w:type="gramStart"/>
        <w:r w:rsidRPr="00954CCF">
          <w:rPr>
            <w:rStyle w:val="Hyperlink"/>
          </w:rPr>
          <w:t>IAIS Application Paper on Supervisory Colleges (2014)</w:t>
        </w:r>
      </w:hyperlink>
      <w:r w:rsidRPr="00954CCF">
        <w:t>.</w:t>
      </w:r>
      <w:proofErr w:type="gramEnd"/>
    </w:p>
  </w:footnote>
  <w:footnote w:id="37">
    <w:p w14:paraId="6E4E325D" w14:textId="77777777" w:rsidR="00AD5BE6" w:rsidRPr="00FE1C0F" w:rsidRDefault="00AD5BE6" w:rsidP="00352F37">
      <w:pPr>
        <w:pStyle w:val="FootnoteText"/>
        <w:ind w:left="567" w:hanging="567"/>
      </w:pPr>
      <w:r>
        <w:rPr>
          <w:rStyle w:val="FootnoteReference"/>
        </w:rPr>
        <w:footnoteRef/>
      </w:r>
      <w:r>
        <w:t xml:space="preserve"> </w:t>
      </w:r>
      <w:r>
        <w:tab/>
        <w:t xml:space="preserve">See </w:t>
      </w:r>
      <w:hyperlink r:id="rId9" w:history="1">
        <w:r w:rsidRPr="00FD36F4">
          <w:rPr>
            <w:rStyle w:val="Hyperlink"/>
          </w:rPr>
          <w:t xml:space="preserve">FATF </w:t>
        </w:r>
        <w:r>
          <w:rPr>
            <w:rStyle w:val="Hyperlink"/>
          </w:rPr>
          <w:t>G</w:t>
        </w:r>
        <w:r w:rsidRPr="00FD36F4">
          <w:rPr>
            <w:rStyle w:val="Hyperlink"/>
          </w:rPr>
          <w:t xml:space="preserve">uidance on </w:t>
        </w:r>
        <w:r>
          <w:rPr>
            <w:rStyle w:val="Hyperlink"/>
          </w:rPr>
          <w:t>P</w:t>
        </w:r>
        <w:r w:rsidRPr="00FD36F4">
          <w:rPr>
            <w:rStyle w:val="Hyperlink"/>
          </w:rPr>
          <w:t xml:space="preserve">rivate </w:t>
        </w:r>
        <w:r>
          <w:rPr>
            <w:rStyle w:val="Hyperlink"/>
          </w:rPr>
          <w:t>S</w:t>
        </w:r>
        <w:r w:rsidRPr="00FD36F4">
          <w:rPr>
            <w:rStyle w:val="Hyperlink"/>
          </w:rPr>
          <w:t xml:space="preserve">ector </w:t>
        </w:r>
        <w:r>
          <w:rPr>
            <w:rStyle w:val="Hyperlink"/>
          </w:rPr>
          <w:t>I</w:t>
        </w:r>
        <w:r w:rsidRPr="00FD36F4">
          <w:rPr>
            <w:rStyle w:val="Hyperlink"/>
          </w:rPr>
          <w:t xml:space="preserve">nformation </w:t>
        </w:r>
        <w:r>
          <w:rPr>
            <w:rStyle w:val="Hyperlink"/>
          </w:rPr>
          <w:t>S</w:t>
        </w:r>
        <w:r w:rsidRPr="00FD36F4">
          <w:rPr>
            <w:rStyle w:val="Hyperlink"/>
          </w:rPr>
          <w:t>haring</w:t>
        </w:r>
      </w:hyperlink>
      <w:r w:rsidRPr="00FE1C0F">
        <w:t xml:space="preserve"> </w:t>
      </w:r>
    </w:p>
  </w:footnote>
  <w:footnote w:id="38">
    <w:p w14:paraId="6E4E325E" w14:textId="6FD11AFD" w:rsidR="00AD5BE6" w:rsidRPr="00FE1C0F" w:rsidRDefault="00AD5BE6" w:rsidP="00352F37">
      <w:pPr>
        <w:pStyle w:val="FootnoteText"/>
        <w:ind w:left="567" w:hanging="567"/>
      </w:pPr>
      <w:r>
        <w:rPr>
          <w:rStyle w:val="FootnoteReference"/>
        </w:rPr>
        <w:footnoteRef/>
      </w:r>
      <w:r>
        <w:t xml:space="preserve"> </w:t>
      </w:r>
      <w:r>
        <w:tab/>
        <w:t>Groupings are also designated as “clusters” in some jurisdictions</w:t>
      </w:r>
      <w:r w:rsidRPr="00FE1C0F">
        <w:t xml:space="preserve"> </w:t>
      </w:r>
    </w:p>
  </w:footnote>
  <w:footnote w:id="39">
    <w:p w14:paraId="6E4E325F" w14:textId="77777777" w:rsidR="00AD5BE6" w:rsidRPr="00FE1C0F" w:rsidRDefault="00AD5BE6" w:rsidP="00352F37">
      <w:pPr>
        <w:pStyle w:val="FootnoteText"/>
        <w:ind w:left="567" w:hanging="567"/>
      </w:pPr>
      <w:r>
        <w:rPr>
          <w:rStyle w:val="FootnoteReference"/>
        </w:rPr>
        <w:footnoteRef/>
      </w:r>
      <w:r>
        <w:t xml:space="preserve"> </w:t>
      </w:r>
      <w:r>
        <w:tab/>
      </w:r>
      <w:r w:rsidRPr="00CD535D">
        <w:t xml:space="preserve">November 2017 </w:t>
      </w:r>
      <w:hyperlink r:id="rId10" w:history="1">
        <w:r w:rsidRPr="00CD535D">
          <w:rPr>
            <w:rStyle w:val="Hyperlink"/>
          </w:rPr>
          <w:t>FATF Guidance on AML/CFT measures on Financial Inclusion (focus on CDD measures</w:t>
        </w:r>
      </w:hyperlink>
      <w:r w:rsidRPr="00CD535D">
        <w:t xml:space="preserve">); </w:t>
      </w:r>
      <w:r>
        <w:t xml:space="preserve">June 2017 </w:t>
      </w:r>
      <w:hyperlink r:id="rId11" w:history="1">
        <w:r w:rsidRPr="00963B31">
          <w:rPr>
            <w:rStyle w:val="Hyperlink"/>
          </w:rPr>
          <w:t>Joint IAA-IAIS project on Actuaries and Inclusive Insurance</w:t>
        </w:r>
      </w:hyperlink>
      <w:r w:rsidRPr="00963B31">
        <w:t xml:space="preserve">, FIRST Initiative; October 2012 </w:t>
      </w:r>
      <w:hyperlink r:id="rId12" w:history="1">
        <w:r w:rsidRPr="00963B31">
          <w:rPr>
            <w:rStyle w:val="Hyperlink"/>
          </w:rPr>
          <w:t>IAIS Application Paper on Regulation and Supervision supporting Inclusive Insurance Markets</w:t>
        </w:r>
      </w:hyperlink>
      <w:r w:rsidRPr="00963B31">
        <w:t xml:space="preserve">; </w:t>
      </w:r>
    </w:p>
  </w:footnote>
  <w:footnote w:id="40">
    <w:p w14:paraId="6E4E3260" w14:textId="77777777" w:rsidR="00AD5BE6" w:rsidRDefault="00AD5BE6" w:rsidP="00352F37">
      <w:pPr>
        <w:pStyle w:val="FootnoteText"/>
        <w:tabs>
          <w:tab w:val="left" w:pos="567"/>
        </w:tabs>
        <w:ind w:left="567" w:hanging="567"/>
      </w:pPr>
      <w:r>
        <w:rPr>
          <w:rStyle w:val="FootnoteReference"/>
        </w:rPr>
        <w:footnoteRef/>
      </w:r>
      <w:r>
        <w:t xml:space="preserve"> See </w:t>
      </w:r>
      <w:hyperlink r:id="rId13" w:history="1">
        <w:r w:rsidRPr="00FD36F4">
          <w:rPr>
            <w:rStyle w:val="Hyperlink"/>
          </w:rPr>
          <w:t>FATF Best pra</w:t>
        </w:r>
        <w:r>
          <w:rPr>
            <w:rStyle w:val="Hyperlink"/>
          </w:rPr>
          <w:t>ctice paper on managing the AML/</w:t>
        </w:r>
        <w:r w:rsidRPr="00FD36F4">
          <w:rPr>
            <w:rStyle w:val="Hyperlink"/>
          </w:rPr>
          <w:t>CFT policy implications of voluntary tax compliance programs</w:t>
        </w:r>
      </w:hyperlink>
      <w:r>
        <w:rPr>
          <w:rStyle w:val="Hyperlink"/>
        </w:rPr>
        <w:t xml:space="preserve"> (revised 2012).</w:t>
      </w:r>
    </w:p>
  </w:footnote>
  <w:footnote w:id="41">
    <w:p w14:paraId="6E4E3261" w14:textId="77777777" w:rsidR="00AD5BE6" w:rsidRPr="00061EC6" w:rsidRDefault="00AD5BE6" w:rsidP="00352F37">
      <w:pPr>
        <w:pStyle w:val="FootnoteText"/>
        <w:ind w:left="567" w:hanging="567"/>
      </w:pPr>
      <w:r>
        <w:rPr>
          <w:rStyle w:val="FootnoteReference"/>
        </w:rPr>
        <w:footnoteRef/>
      </w:r>
      <w:r>
        <w:t xml:space="preserve"> 2015 FATF </w:t>
      </w:r>
      <w:hyperlink r:id="rId14" w:history="1">
        <w:r w:rsidRPr="00BC56D7">
          <w:rPr>
            <w:rStyle w:val="Hyperlink"/>
            <w:i/>
          </w:rPr>
          <w:t>Financing of the Terrorist Organisation Islamic State in Iraq and the Levant (ISIL)</w:t>
        </w:r>
      </w:hyperlink>
      <w:r w:rsidRPr="00BC56D7">
        <w:rPr>
          <w:i/>
        </w:rPr>
        <w:t xml:space="preserve"> </w:t>
      </w:r>
      <w:r>
        <w:t xml:space="preserve">and in </w:t>
      </w:r>
      <w:r>
        <w:rPr>
          <w:rStyle w:val="Hyperlink"/>
          <w:i/>
        </w:rPr>
        <w:t>“Emerging terrorist financing risks”.(October 2015)</w:t>
      </w:r>
      <w:r>
        <w:t xml:space="preserve"> </w:t>
      </w:r>
    </w:p>
  </w:footnote>
  <w:footnote w:id="42">
    <w:p w14:paraId="6E4E3262" w14:textId="77777777" w:rsidR="00AD5BE6" w:rsidRDefault="00AD5BE6" w:rsidP="000E4706">
      <w:pPr>
        <w:pStyle w:val="FootnoteText"/>
        <w:ind w:left="0"/>
      </w:pPr>
      <w:r>
        <w:rPr>
          <w:rStyle w:val="FootnoteReference"/>
        </w:rPr>
        <w:footnoteRef/>
      </w:r>
      <w:r>
        <w:t>   </w:t>
      </w:r>
      <w:r w:rsidRPr="009D63B4">
        <w:t>http://www.fatf-gafi.org/publications/financingofproliferation/documents/guidance-counter-proliferation-financing.html</w:t>
      </w:r>
    </w:p>
  </w:footnote>
  <w:footnote w:id="43">
    <w:p w14:paraId="6E4E3263" w14:textId="77777777" w:rsidR="00AD5BE6" w:rsidRPr="00FE1C0F" w:rsidRDefault="00AD5BE6" w:rsidP="00352F37">
      <w:pPr>
        <w:pStyle w:val="FootnoteText"/>
        <w:ind w:left="567" w:hanging="567"/>
      </w:pPr>
      <w:r>
        <w:rPr>
          <w:rStyle w:val="FootnoteReference"/>
        </w:rPr>
        <w:footnoteRef/>
      </w:r>
      <w:r>
        <w:t xml:space="preserve"> </w:t>
      </w:r>
      <w:r>
        <w:tab/>
      </w:r>
      <w:hyperlink r:id="rId15" w:history="1">
        <w:r w:rsidRPr="00836884">
          <w:rPr>
            <w:rStyle w:val="Hyperlink"/>
          </w:rPr>
          <w:t>http://www.fatf-gafi.org/media/fatf/documents/reports/Guidance-Correspondent-Banking-Services.pdf</w:t>
        </w:r>
      </w:hyperlink>
      <w:r>
        <w:t>.</w:t>
      </w:r>
    </w:p>
  </w:footnote>
  <w:footnote w:id="44">
    <w:p w14:paraId="6E4E3264" w14:textId="77777777" w:rsidR="00AD5BE6" w:rsidRPr="00CF2577" w:rsidRDefault="00AD5BE6" w:rsidP="00352F37">
      <w:pPr>
        <w:pStyle w:val="FootnoteText"/>
        <w:ind w:left="567" w:hanging="567"/>
      </w:pPr>
      <w:r>
        <w:rPr>
          <w:rStyle w:val="FootnoteReference"/>
        </w:rPr>
        <w:footnoteRef/>
      </w:r>
      <w:r>
        <w:t xml:space="preserve">       This would only be relevant where insurers are required to have AML/CFT compliance programmes in place. </w:t>
      </w:r>
    </w:p>
  </w:footnote>
  <w:footnote w:id="45">
    <w:p w14:paraId="6E4E3265" w14:textId="77777777" w:rsidR="00AD5BE6" w:rsidRPr="00AD421B" w:rsidRDefault="00AD5BE6" w:rsidP="00352F37">
      <w:pPr>
        <w:pStyle w:val="FootnoteText"/>
        <w:tabs>
          <w:tab w:val="left" w:pos="142"/>
        </w:tabs>
        <w:ind w:left="284"/>
      </w:pPr>
      <w:r w:rsidRPr="00AD421B">
        <w:rPr>
          <w:rStyle w:val="FootnoteReference"/>
          <w:sz w:val="20"/>
        </w:rPr>
        <w:footnoteRef/>
      </w:r>
      <w:r w:rsidRPr="00AD421B">
        <w:t xml:space="preserve"> Facultative reinsurance is one of the two </w:t>
      </w:r>
      <w:r>
        <w:t>categories</w:t>
      </w:r>
      <w:r w:rsidRPr="00AD421B">
        <w:t xml:space="preserve"> of reinsurance, with the other being treaty reinsurance. Facultative reinsurance is considered to be more of a one-off transaction while treaty reinsurance is more of a long-term arrangement. Facultative reinsurance allows the reinsur</w:t>
      </w:r>
      <w:r>
        <w:t>er</w:t>
      </w:r>
      <w:r w:rsidRPr="00AD421B">
        <w:t xml:space="preserve"> to review individual risks and determine whether to accept or reject them. Treaty reinsurance covers a “book” of risks,</w:t>
      </w:r>
      <w:r>
        <w:t xml:space="preserve"> and</w:t>
      </w:r>
      <w:r w:rsidRPr="00AD421B">
        <w:t xml:space="preserve"> the reinsurer is expected to cover all risks</w:t>
      </w:r>
      <w:r>
        <w:t xml:space="preserve"> falling within the class of business that is the subject of the treaty</w:t>
      </w:r>
      <w:r w:rsidRPr="00AD421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A85E6" w14:textId="3768C26D" w:rsidR="00AD5BE6" w:rsidRDefault="000B07EA" w:rsidP="00AD5BE6">
    <w:sdt>
      <w:sdtPr>
        <w:rPr>
          <w:rStyle w:val="PageNumber"/>
        </w:rPr>
        <w:alias w:val="Page Number"/>
        <w:tag w:val="TxtPageNumber"/>
        <w:id w:val="1501461492"/>
        <w:lock w:val="sdtLocked"/>
      </w:sdtPr>
      <w:sdtEndPr>
        <w:rPr>
          <w:rStyle w:val="PageNumber"/>
        </w:rPr>
      </w:sdtEndPr>
      <w:sdtContent>
        <w:r w:rsidR="00AD5BE6" w:rsidRPr="00F72BD4">
          <w:rPr>
            <w:rStyle w:val="PageNumber"/>
          </w:rPr>
          <w:fldChar w:fldCharType="begin"/>
        </w:r>
        <w:r w:rsidR="00AD5BE6" w:rsidRPr="00F72BD4">
          <w:rPr>
            <w:rStyle w:val="PageNumber"/>
          </w:rPr>
          <w:instrText xml:space="preserve"> PAGE   \* MERGEFORMAT </w:instrText>
        </w:r>
        <w:r w:rsidR="00AD5BE6" w:rsidRPr="00F72BD4">
          <w:rPr>
            <w:rStyle w:val="PageNumber"/>
          </w:rPr>
          <w:fldChar w:fldCharType="separate"/>
        </w:r>
        <w:r>
          <w:rPr>
            <w:rStyle w:val="PageNumber"/>
            <w:noProof/>
          </w:rPr>
          <w:t>4</w:t>
        </w:r>
        <w:r w:rsidR="00AD5BE6" w:rsidRPr="00F72BD4">
          <w:rPr>
            <w:rStyle w:val="PageNumber"/>
            <w:noProof/>
          </w:rPr>
          <w:fldChar w:fldCharType="end"/>
        </w:r>
      </w:sdtContent>
    </w:sdt>
    <w:r w:rsidR="00AD5BE6" w:rsidRPr="002C6328">
      <w:rPr>
        <w:rStyle w:val="PageNumber"/>
      </w:rPr>
      <w:t xml:space="preserve"> </w:t>
    </w:r>
    <w:r w:rsidR="00AD5BE6" w:rsidRPr="002C6328">
      <w:rPr>
        <w:rStyle w:val="PageNumber"/>
        <w:rFonts w:ascii="Courier New" w:hAnsi="Courier New" w:cs="Courier New"/>
      </w:rPr>
      <w:t xml:space="preserve">│ </w:t>
    </w:r>
    <w:sdt>
      <w:sdtPr>
        <w:rPr>
          <w:rStyle w:val="HeaderTitle"/>
          <w:sz w:val="20"/>
        </w:rPr>
        <w:alias w:val="Cote/Chapter"/>
        <w:tag w:val="txtHeaderValue"/>
        <w:id w:val="1481419076"/>
        <w:lock w:val="sdtLocked"/>
        <w:showingPlcHdr/>
        <w:text/>
      </w:sdtPr>
      <w:sdtEndPr>
        <w:rPr>
          <w:rStyle w:val="HeaderTitle"/>
        </w:rPr>
      </w:sdtEndPr>
      <w:sdtContent>
        <w:r w:rsidR="00845CA2">
          <w:rPr>
            <w:rStyle w:val="HeaderTitle"/>
            <w:sz w:val="20"/>
          </w:rPr>
          <w:t xml:space="preserve">     </w:t>
        </w:r>
      </w:sdtContent>
    </w:sdt>
    <w:r w:rsidR="00AD5BE6" w:rsidRPr="00845CA2">
      <w:rPr>
        <w:color w:val="4E9EB2"/>
        <w:sz w:val="20"/>
      </w:rPr>
      <w:t>Public Consultation on the Draft Risk-Based Approach Guidance for the Life Insurance Sector</w:t>
    </w:r>
  </w:p>
  <w:p w14:paraId="7C7711B4" w14:textId="0819F4A1" w:rsidR="00AD5BE6" w:rsidRDefault="000B07EA" w:rsidP="00547963">
    <w:pPr>
      <w:pStyle w:val="Footer"/>
      <w:jc w:val="left"/>
    </w:pPr>
    <w:sdt>
      <w:sdtPr>
        <w:alias w:val="Document Title"/>
        <w:tag w:val="FooterDocTitle"/>
        <w:id w:val="-462729188"/>
        <w:showingPlcHdr/>
        <w:text/>
      </w:sdtPr>
      <w:sdtEndPr/>
      <w:sdtContent>
        <w:r w:rsidR="00AD5BE6">
          <w:t xml:space="preserve">     </w:t>
        </w:r>
      </w:sdtContent>
    </w:sdt>
  </w:p>
  <w:p w14:paraId="6E4E322E" w14:textId="3B48C82F" w:rsidR="00AD5BE6" w:rsidRPr="00C72A27" w:rsidRDefault="00AD5BE6" w:rsidP="002C6328">
    <w:pPr>
      <w:pStyle w:val="HeaderEven"/>
      <w:rPr>
        <w:caps/>
        <w:sz w:val="18"/>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E322F" w14:textId="54846A83" w:rsidR="00AD5BE6" w:rsidRPr="00547963" w:rsidRDefault="000B07EA" w:rsidP="00685A59">
    <w:pPr>
      <w:pStyle w:val="HeaderOdd"/>
      <w:rPr>
        <w:rStyle w:val="PageNumber"/>
        <w:noProof/>
        <w:lang w:val="en-GB"/>
      </w:rPr>
    </w:pPr>
    <w:sdt>
      <w:sdtPr>
        <w:rPr>
          <w:b/>
          <w:caps/>
          <w:sz w:val="16"/>
          <w:szCs w:val="22"/>
          <w:lang w:val="en-GB"/>
        </w:rPr>
        <w:alias w:val="Cote/Chapter"/>
        <w:tag w:val="txtHeaderValue"/>
        <w:id w:val="-1097175756"/>
        <w:lock w:val="sdtLocked"/>
        <w:text/>
      </w:sdtPr>
      <w:sdtEndPr/>
      <w:sdtContent>
        <w:r w:rsidR="00AD5BE6" w:rsidRPr="00547963">
          <w:rPr>
            <w:caps/>
            <w:sz w:val="16"/>
            <w:lang w:val="en-GB"/>
          </w:rPr>
          <w:t xml:space="preserve"> </w:t>
        </w:r>
      </w:sdtContent>
    </w:sdt>
    <w:r w:rsidR="00845CA2" w:rsidRPr="00845CA2">
      <w:rPr>
        <w:color w:val="4E9EB2"/>
        <w:sz w:val="20"/>
        <w:lang w:val="en-GB"/>
      </w:rPr>
      <w:t>Public Consultation on the Draft Risk-Based Approach Guidance for the Life Insurance Sector</w:t>
    </w:r>
    <w:r w:rsidR="00AD5BE6" w:rsidRPr="00547963">
      <w:rPr>
        <w:rStyle w:val="PageNumber"/>
        <w:rFonts w:ascii="Courier New" w:hAnsi="Courier New" w:cs="Courier New"/>
        <w:lang w:val="en-GB"/>
      </w:rPr>
      <w:t>│</w:t>
    </w:r>
    <w:r w:rsidR="00AD5BE6" w:rsidRPr="00547963">
      <w:rPr>
        <w:rStyle w:val="PageNumber"/>
        <w:lang w:val="en-GB"/>
      </w:rPr>
      <w:t xml:space="preserve"> </w:t>
    </w:r>
    <w:sdt>
      <w:sdtPr>
        <w:rPr>
          <w:rStyle w:val="PageNumber"/>
        </w:rPr>
        <w:alias w:val="Page Number"/>
        <w:tag w:val="TxtPageNumber"/>
        <w:id w:val="981266131"/>
        <w:lock w:val="sdtLocked"/>
      </w:sdtPr>
      <w:sdtEndPr>
        <w:rPr>
          <w:rStyle w:val="PageNumber"/>
        </w:rPr>
      </w:sdtEndPr>
      <w:sdtContent>
        <w:r w:rsidR="00AD5BE6" w:rsidRPr="00F72BD4">
          <w:rPr>
            <w:rStyle w:val="PageNumber"/>
          </w:rPr>
          <w:fldChar w:fldCharType="begin"/>
        </w:r>
        <w:r w:rsidR="00AD5BE6" w:rsidRPr="00547963">
          <w:rPr>
            <w:rStyle w:val="PageNumber"/>
            <w:lang w:val="en-GB"/>
          </w:rPr>
          <w:instrText xml:space="preserve"> PAGE   \* MERGEFORMAT </w:instrText>
        </w:r>
        <w:r w:rsidR="00AD5BE6" w:rsidRPr="00F72BD4">
          <w:rPr>
            <w:rStyle w:val="PageNumber"/>
          </w:rPr>
          <w:fldChar w:fldCharType="separate"/>
        </w:r>
        <w:r>
          <w:rPr>
            <w:rStyle w:val="PageNumber"/>
            <w:noProof/>
            <w:lang w:val="en-GB"/>
          </w:rPr>
          <w:t>3</w:t>
        </w:r>
        <w:r w:rsidR="00AD5BE6" w:rsidRPr="00F72BD4">
          <w:rPr>
            <w:rStyle w:val="PageNumber"/>
            <w:noProof/>
          </w:rPr>
          <w:fldChar w:fldCharType="end"/>
        </w:r>
      </w:sdtContent>
    </w:sdt>
  </w:p>
  <w:p w14:paraId="6E4E3230" w14:textId="77777777" w:rsidR="00AD5BE6" w:rsidRPr="00547963" w:rsidRDefault="00AD5BE6" w:rsidP="002C6328">
    <w:pPr>
      <w:pStyle w:val="HeaderOdd"/>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772C" w14:textId="4AA57923" w:rsidR="00AD5BE6" w:rsidRDefault="00845CA2">
    <w:pPr>
      <w:pStyle w:val="Header"/>
    </w:pPr>
    <w:r>
      <w:rPr>
        <w:b/>
        <w:noProof/>
        <w:lang w:eastAsia="en-GB"/>
      </w:rPr>
      <w:drawing>
        <wp:anchor distT="0" distB="0" distL="114300" distR="114300" simplePos="0" relativeHeight="251659264" behindDoc="0" locked="0" layoutInCell="1" allowOverlap="1" wp14:anchorId="49250E3A" wp14:editId="2D9FB118">
          <wp:simplePos x="0" y="0"/>
          <wp:positionH relativeFrom="column">
            <wp:posOffset>260350</wp:posOffset>
          </wp:positionH>
          <wp:positionV relativeFrom="paragraph">
            <wp:posOffset>-901065</wp:posOffset>
          </wp:positionV>
          <wp:extent cx="2853732" cy="13149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ith-full-titl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3732" cy="13149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4A9"/>
    <w:multiLevelType w:val="hybridMultilevel"/>
    <w:tmpl w:val="D2F47A1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
    <w:nsid w:val="052C1889"/>
    <w:multiLevelType w:val="hybridMultilevel"/>
    <w:tmpl w:val="DA7677B6"/>
    <w:lvl w:ilvl="0" w:tplc="1AFA4122">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nsid w:val="056807B4"/>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7F90F62"/>
    <w:multiLevelType w:val="singleLevel"/>
    <w:tmpl w:val="CE5058AE"/>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nsid w:val="093905E6"/>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9663AE0"/>
    <w:multiLevelType w:val="hybridMultilevel"/>
    <w:tmpl w:val="E49CBF3C"/>
    <w:lvl w:ilvl="0" w:tplc="A1BE9356">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890C55"/>
    <w:multiLevelType w:val="singleLevel"/>
    <w:tmpl w:val="15B65924"/>
    <w:name w:val="templateBulletBox3"/>
    <w:lvl w:ilvl="0">
      <w:start w:val="1"/>
      <w:numFmt w:val="bullet"/>
      <w:lvlText w:val="-"/>
      <w:lvlJc w:val="left"/>
      <w:pPr>
        <w:tabs>
          <w:tab w:val="num" w:pos="1474"/>
        </w:tabs>
        <w:ind w:left="1474" w:hanging="340"/>
      </w:pPr>
      <w:rPr>
        <w:rFonts w:ascii="Symbol" w:hAnsi="Symbol" w:cs="Times New Roman" w:hint="default"/>
        <w:b w:val="0"/>
        <w:i w:val="0"/>
        <w:sz w:val="22"/>
      </w:rPr>
    </w:lvl>
  </w:abstractNum>
  <w:abstractNum w:abstractNumId="7">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8">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9">
    <w:nsid w:val="0E21375D"/>
    <w:multiLevelType w:val="hybridMultilevel"/>
    <w:tmpl w:val="D21637B0"/>
    <w:lvl w:ilvl="0" w:tplc="A52AE5A0">
      <w:start w:val="1"/>
      <w:numFmt w:val="bullet"/>
      <w:pStyle w:val="BL2"/>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nsid w:val="0F0B3EAC"/>
    <w:multiLevelType w:val="hybridMultilevel"/>
    <w:tmpl w:val="BBB6CA46"/>
    <w:lvl w:ilvl="0" w:tplc="9072D7BA">
      <w:start w:val="1"/>
      <w:numFmt w:val="bullet"/>
      <w:pStyle w:val="GroupHeading"/>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2">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13">
    <w:nsid w:val="199C3D0A"/>
    <w:multiLevelType w:val="hybridMultilevel"/>
    <w:tmpl w:val="95CC2060"/>
    <w:lvl w:ilvl="0" w:tplc="626AEE14">
      <w:start w:val="1"/>
      <w:numFmt w:val="bullet"/>
      <w:lvlText w:val="-"/>
      <w:lvlJc w:val="left"/>
      <w:pPr>
        <w:ind w:left="2421" w:hanging="360"/>
      </w:pPr>
      <w:rPr>
        <w:rFonts w:ascii="Courier New" w:hAnsi="Courier New" w:hint="default"/>
      </w:rPr>
    </w:lvl>
    <w:lvl w:ilvl="1" w:tplc="87DA35FC">
      <w:start w:val="1"/>
      <w:numFmt w:val="bullet"/>
      <w:pStyle w:val="BL4"/>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3835AD"/>
    <w:multiLevelType w:val="multilevel"/>
    <w:tmpl w:val="4FDC21F6"/>
    <w:styleLink w:val="1Paragraphlist"/>
    <w:lvl w:ilvl="0">
      <w:start w:val="1"/>
      <w:numFmt w:val="decimal"/>
      <w:lvlText w:val="%1."/>
      <w:lvlJc w:val="left"/>
      <w:pPr>
        <w:ind w:left="0" w:firstLine="0"/>
      </w:pPr>
      <w:rPr>
        <w:rFonts w:ascii="Georgia" w:eastAsiaTheme="minorHAnsi" w:hAnsi="Georgia" w:cstheme="minorBidi"/>
        <w:b w:val="0"/>
        <w:i w:val="0"/>
        <w:color w:val="auto"/>
        <w:sz w:val="20"/>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nsid w:val="24FC1975"/>
    <w:multiLevelType w:val="hybridMultilevel"/>
    <w:tmpl w:val="0A1C45C2"/>
    <w:lvl w:ilvl="0" w:tplc="311A43F8">
      <w:start w:val="1"/>
      <w:numFmt w:val="decimal"/>
      <w:pStyle w:val="NumberedList"/>
      <w:lvlText w:val="%1."/>
      <w:lvlJc w:val="left"/>
      <w:pPr>
        <w:ind w:left="1361" w:hanging="340"/>
      </w:pPr>
      <w:rPr>
        <w:rFonts w:hint="default"/>
      </w:rPr>
    </w:lvl>
    <w:lvl w:ilvl="1" w:tplc="D08ACE40">
      <w:start w:val="1"/>
      <w:numFmt w:val="lowerLetter"/>
      <w:lvlText w:val="%2."/>
      <w:lvlJc w:val="left"/>
      <w:pPr>
        <w:tabs>
          <w:tab w:val="num" w:pos="340"/>
        </w:tabs>
        <w:ind w:left="1701" w:hanging="340"/>
      </w:pPr>
      <w:rPr>
        <w:rFonts w:hint="default"/>
      </w:rPr>
    </w:lvl>
    <w:lvl w:ilvl="2" w:tplc="5C104A16">
      <w:start w:val="1"/>
      <w:numFmt w:val="lowerRoman"/>
      <w:lvlText w:val="%3."/>
      <w:lvlJc w:val="right"/>
      <w:pPr>
        <w:ind w:left="2041" w:hanging="227"/>
      </w:pPr>
      <w:rPr>
        <w:rFonts w:hint="default"/>
      </w:rPr>
    </w:lvl>
    <w:lvl w:ilvl="3" w:tplc="1D6C3F34">
      <w:start w:val="1"/>
      <w:numFmt w:val="lowerLetter"/>
      <w:lvlText w:val="%4)"/>
      <w:lvlJc w:val="left"/>
      <w:pPr>
        <w:tabs>
          <w:tab w:val="num" w:pos="340"/>
        </w:tabs>
        <w:ind w:left="2381" w:hanging="340"/>
      </w:pPr>
      <w:rPr>
        <w:rFonts w:hint="default"/>
      </w:rPr>
    </w:lvl>
    <w:lvl w:ilvl="4" w:tplc="E28834E8">
      <w:start w:val="1"/>
      <w:numFmt w:val="decimal"/>
      <w:lvlText w:val="%5)"/>
      <w:lvlJc w:val="left"/>
      <w:pPr>
        <w:tabs>
          <w:tab w:val="num" w:pos="340"/>
        </w:tabs>
        <w:ind w:left="2722" w:hanging="341"/>
      </w:pPr>
      <w:rPr>
        <w:rFonts w:hint="default"/>
      </w:r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6">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17">
    <w:nsid w:val="36C31C36"/>
    <w:multiLevelType w:val="hybridMultilevel"/>
    <w:tmpl w:val="02EA303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8">
    <w:nsid w:val="385D0A84"/>
    <w:multiLevelType w:val="multilevel"/>
    <w:tmpl w:val="7F148E5C"/>
    <w:name w:val="templateNumberBox"/>
    <w:lvl w:ilvl="0">
      <w:start w:val="1"/>
      <w:numFmt w:val="decimal"/>
      <w:lvlText w:val="%1."/>
      <w:lvlJc w:val="left"/>
      <w:pPr>
        <w:tabs>
          <w:tab w:val="num" w:pos="1950"/>
        </w:tabs>
        <w:ind w:left="1950" w:hanging="408"/>
      </w:pPr>
    </w:lvl>
    <w:lvl w:ilvl="1">
      <w:start w:val="1"/>
      <w:numFmt w:val="decimal"/>
      <w:lvlText w:val="%2."/>
      <w:lvlJc w:val="left"/>
      <w:pPr>
        <w:tabs>
          <w:tab w:val="num" w:pos="2291"/>
        </w:tabs>
        <w:ind w:left="2291" w:hanging="341"/>
      </w:pPr>
    </w:lvl>
    <w:lvl w:ilvl="2">
      <w:start w:val="1"/>
      <w:numFmt w:val="decimal"/>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19">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D93606E"/>
    <w:multiLevelType w:val="hybridMultilevel"/>
    <w:tmpl w:val="3956F646"/>
    <w:lvl w:ilvl="0" w:tplc="080647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E337798"/>
    <w:multiLevelType w:val="multilevel"/>
    <w:tmpl w:val="9774C276"/>
    <w:lvl w:ilvl="0">
      <w:start w:val="1"/>
      <w:numFmt w:val="decimal"/>
      <w:suff w:val="space"/>
      <w:lvlText w:val="Chapter %1. "/>
      <w:lvlJc w:val="left"/>
      <w:pPr>
        <w:ind w:left="0" w:firstLine="0"/>
      </w:pPr>
      <w:rPr>
        <w:rFonts w:hint="default"/>
      </w:rPr>
    </w:lvl>
    <w:lvl w:ilvl="1">
      <w:start w:val="1"/>
      <w:numFmt w:val="decimal"/>
      <w:lvlText w:val="%1.%2"/>
      <w:lvlJc w:val="left"/>
      <w:pPr>
        <w:tabs>
          <w:tab w:val="num" w:pos="454"/>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FC77082"/>
    <w:multiLevelType w:val="hybridMultilevel"/>
    <w:tmpl w:val="D79AE7C6"/>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3">
    <w:nsid w:val="42A0291E"/>
    <w:multiLevelType w:val="hybridMultilevel"/>
    <w:tmpl w:val="85627EB4"/>
    <w:lvl w:ilvl="0" w:tplc="24DECA24">
      <w:start w:val="1"/>
      <w:numFmt w:val="bullet"/>
      <w:pStyle w:val="FAFT-BULLETEDTEXT"/>
      <w:lvlText w:val=""/>
      <w:lvlJc w:val="left"/>
      <w:pPr>
        <w:tabs>
          <w:tab w:val="num" w:pos="2329"/>
        </w:tabs>
        <w:ind w:left="2272" w:hanging="228"/>
      </w:pPr>
      <w:rPr>
        <w:rFonts w:ascii="Wingdings" w:hAnsi="Wingdings" w:hint="default"/>
        <w:color w:val="348093"/>
        <w:sz w:val="20"/>
        <w:szCs w:val="20"/>
      </w:rPr>
    </w:lvl>
    <w:lvl w:ilvl="1" w:tplc="040C0003">
      <w:start w:val="1"/>
      <w:numFmt w:val="bullet"/>
      <w:lvlText w:val="o"/>
      <w:lvlJc w:val="left"/>
      <w:pPr>
        <w:ind w:left="3482" w:hanging="360"/>
      </w:pPr>
      <w:rPr>
        <w:rFonts w:ascii="Courier New" w:hAnsi="Courier New" w:hint="default"/>
      </w:rPr>
    </w:lvl>
    <w:lvl w:ilvl="2" w:tplc="040C0005" w:tentative="1">
      <w:start w:val="1"/>
      <w:numFmt w:val="bullet"/>
      <w:lvlText w:val=""/>
      <w:lvlJc w:val="left"/>
      <w:pPr>
        <w:ind w:left="4202" w:hanging="360"/>
      </w:pPr>
      <w:rPr>
        <w:rFonts w:ascii="Wingdings" w:hAnsi="Wingdings" w:hint="default"/>
      </w:rPr>
    </w:lvl>
    <w:lvl w:ilvl="3" w:tplc="040C0001" w:tentative="1">
      <w:start w:val="1"/>
      <w:numFmt w:val="bullet"/>
      <w:lvlText w:val=""/>
      <w:lvlJc w:val="left"/>
      <w:pPr>
        <w:ind w:left="4922" w:hanging="360"/>
      </w:pPr>
      <w:rPr>
        <w:rFonts w:ascii="Symbol" w:hAnsi="Symbol" w:hint="default"/>
      </w:rPr>
    </w:lvl>
    <w:lvl w:ilvl="4" w:tplc="040C0003" w:tentative="1">
      <w:start w:val="1"/>
      <w:numFmt w:val="bullet"/>
      <w:lvlText w:val="o"/>
      <w:lvlJc w:val="left"/>
      <w:pPr>
        <w:ind w:left="5642" w:hanging="360"/>
      </w:pPr>
      <w:rPr>
        <w:rFonts w:ascii="Courier New" w:hAnsi="Courier New" w:hint="default"/>
      </w:rPr>
    </w:lvl>
    <w:lvl w:ilvl="5" w:tplc="040C0005" w:tentative="1">
      <w:start w:val="1"/>
      <w:numFmt w:val="bullet"/>
      <w:lvlText w:val=""/>
      <w:lvlJc w:val="left"/>
      <w:pPr>
        <w:ind w:left="6362" w:hanging="360"/>
      </w:pPr>
      <w:rPr>
        <w:rFonts w:ascii="Wingdings" w:hAnsi="Wingdings" w:hint="default"/>
      </w:rPr>
    </w:lvl>
    <w:lvl w:ilvl="6" w:tplc="040C0001" w:tentative="1">
      <w:start w:val="1"/>
      <w:numFmt w:val="bullet"/>
      <w:lvlText w:val=""/>
      <w:lvlJc w:val="left"/>
      <w:pPr>
        <w:ind w:left="7082" w:hanging="360"/>
      </w:pPr>
      <w:rPr>
        <w:rFonts w:ascii="Symbol" w:hAnsi="Symbol" w:hint="default"/>
      </w:rPr>
    </w:lvl>
    <w:lvl w:ilvl="7" w:tplc="040C0003" w:tentative="1">
      <w:start w:val="1"/>
      <w:numFmt w:val="bullet"/>
      <w:lvlText w:val="o"/>
      <w:lvlJc w:val="left"/>
      <w:pPr>
        <w:ind w:left="7802" w:hanging="360"/>
      </w:pPr>
      <w:rPr>
        <w:rFonts w:ascii="Courier New" w:hAnsi="Courier New" w:hint="default"/>
      </w:rPr>
    </w:lvl>
    <w:lvl w:ilvl="8" w:tplc="040C0005" w:tentative="1">
      <w:start w:val="1"/>
      <w:numFmt w:val="bullet"/>
      <w:lvlText w:val=""/>
      <w:lvlJc w:val="left"/>
      <w:pPr>
        <w:ind w:left="8522" w:hanging="360"/>
      </w:pPr>
      <w:rPr>
        <w:rFonts w:ascii="Wingdings" w:hAnsi="Wingdings" w:hint="default"/>
      </w:rPr>
    </w:lvl>
  </w:abstractNum>
  <w:abstractNum w:abstractNumId="24">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25">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26">
    <w:nsid w:val="4AAE47B4"/>
    <w:multiLevelType w:val="singleLevel"/>
    <w:tmpl w:val="AB6CFFBC"/>
    <w:name w:val="templateBulletBox2"/>
    <w:lvl w:ilvl="0">
      <w:start w:val="1"/>
      <w:numFmt w:val="bullet"/>
      <w:lvlText w:val="-"/>
      <w:lvlJc w:val="left"/>
      <w:pPr>
        <w:tabs>
          <w:tab w:val="num" w:pos="1191"/>
        </w:tabs>
        <w:ind w:left="1191" w:hanging="340"/>
      </w:pPr>
      <w:rPr>
        <w:rFonts w:ascii="Symbol" w:hAnsi="Symbol" w:cs="Times New Roman" w:hint="default"/>
        <w:b w:val="0"/>
        <w:i w:val="0"/>
        <w:sz w:val="22"/>
      </w:rPr>
    </w:lvl>
  </w:abstractNum>
  <w:abstractNum w:abstractNumId="27">
    <w:nsid w:val="4C220B75"/>
    <w:multiLevelType w:val="multilevel"/>
    <w:tmpl w:val="E61082C2"/>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680" w:firstLine="0"/>
      </w:pPr>
      <w:rPr>
        <w:rFonts w:hint="default"/>
      </w:rPr>
    </w:lvl>
    <w:lvl w:ilvl="3">
      <w:start w:val="1"/>
      <w:numFmt w:val="none"/>
      <w:pStyle w:val="Heading4"/>
      <w:suff w:val="nothing"/>
      <w:lvlText w:val=""/>
      <w:lvlJc w:val="left"/>
      <w:pPr>
        <w:ind w:left="680" w:firstLine="0"/>
      </w:pPr>
      <w:rPr>
        <w:rFonts w:hint="default"/>
      </w:rPr>
    </w:lvl>
    <w:lvl w:ilvl="4">
      <w:start w:val="1"/>
      <w:numFmt w:val="none"/>
      <w:pStyle w:val="Heading5"/>
      <w:suff w:val="nothing"/>
      <w:lvlText w:val=""/>
      <w:lvlJc w:val="left"/>
      <w:pPr>
        <w:ind w:left="680" w:firstLine="0"/>
      </w:pPr>
      <w:rPr>
        <w:rFonts w:hint="default"/>
      </w:rPr>
    </w:lvl>
    <w:lvl w:ilvl="5">
      <w:start w:val="1"/>
      <w:numFmt w:val="none"/>
      <w:pStyle w:val="Heading6"/>
      <w:suff w:val="nothing"/>
      <w:lvlText w:val=""/>
      <w:lvlJc w:val="left"/>
      <w:pPr>
        <w:ind w:left="680" w:firstLine="0"/>
      </w:pPr>
      <w:rPr>
        <w:rFonts w:hint="default"/>
      </w:rPr>
    </w:lvl>
    <w:lvl w:ilvl="6">
      <w:start w:val="1"/>
      <w:numFmt w:val="upperLetter"/>
      <w:lvlRestart w:val="0"/>
      <w:pStyle w:val="Heading7"/>
      <w:suff w:val="space"/>
      <w:lvlText w:val="Annex %7."/>
      <w:lvlJc w:val="center"/>
      <w:pPr>
        <w:ind w:left="0" w:firstLine="288"/>
      </w:pPr>
      <w:rPr>
        <w:rFonts w:hint="default"/>
      </w:rPr>
    </w:lvl>
    <w:lvl w:ilvl="7">
      <w:start w:val="1"/>
      <w:numFmt w:val="none"/>
      <w:pStyle w:val="Heading8"/>
      <w:suff w:val="nothing"/>
      <w:lvlText w:val=""/>
      <w:lvlJc w:val="left"/>
      <w:pPr>
        <w:ind w:left="680" w:firstLine="0"/>
      </w:pPr>
      <w:rPr>
        <w:rFonts w:hint="default"/>
      </w:rPr>
    </w:lvl>
    <w:lvl w:ilvl="8">
      <w:start w:val="1"/>
      <w:numFmt w:val="none"/>
      <w:pStyle w:val="Heading9"/>
      <w:suff w:val="nothing"/>
      <w:lvlText w:val=""/>
      <w:lvlJc w:val="left"/>
      <w:pPr>
        <w:ind w:left="680" w:firstLine="0"/>
      </w:pPr>
      <w:rPr>
        <w:rFonts w:hint="default"/>
      </w:rPr>
    </w:lvl>
  </w:abstractNum>
  <w:abstractNum w:abstractNumId="28">
    <w:nsid w:val="4E235EBC"/>
    <w:multiLevelType w:val="hybridMultilevel"/>
    <w:tmpl w:val="5776C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76726A"/>
    <w:multiLevelType w:val="hybridMultilevel"/>
    <w:tmpl w:val="80140844"/>
    <w:lvl w:ilvl="0" w:tplc="4DD6949A">
      <w:start w:val="1"/>
      <w:numFmt w:val="bullet"/>
      <w:pStyle w:val="BulletedList"/>
      <w:lvlText w:val=""/>
      <w:lvlJc w:val="left"/>
      <w:pPr>
        <w:tabs>
          <w:tab w:val="num" w:pos="340"/>
        </w:tabs>
        <w:ind w:left="1361" w:hanging="340"/>
      </w:pPr>
      <w:rPr>
        <w:rFonts w:ascii="Symbol" w:hAnsi="Symbol" w:hint="default"/>
      </w:rPr>
    </w:lvl>
    <w:lvl w:ilvl="1" w:tplc="0254B86C">
      <w:start w:val="1"/>
      <w:numFmt w:val="bullet"/>
      <w:lvlText w:val="o"/>
      <w:lvlJc w:val="left"/>
      <w:pPr>
        <w:tabs>
          <w:tab w:val="num" w:pos="340"/>
        </w:tabs>
        <w:ind w:left="1701" w:hanging="340"/>
      </w:pPr>
      <w:rPr>
        <w:rFonts w:ascii="Courier New" w:hAnsi="Courier New" w:hint="default"/>
      </w:rPr>
    </w:lvl>
    <w:lvl w:ilvl="2" w:tplc="3FCCEC2E">
      <w:start w:val="1"/>
      <w:numFmt w:val="bullet"/>
      <w:lvlText w:val="‒"/>
      <w:lvlJc w:val="left"/>
      <w:pPr>
        <w:tabs>
          <w:tab w:val="num" w:pos="340"/>
        </w:tabs>
        <w:ind w:left="2041" w:hanging="340"/>
      </w:pPr>
      <w:rPr>
        <w:rFonts w:ascii="Calibri" w:hAnsi="Calibri" w:hint="default"/>
      </w:rPr>
    </w:lvl>
    <w:lvl w:ilvl="3" w:tplc="1B2CDE76">
      <w:start w:val="1"/>
      <w:numFmt w:val="bullet"/>
      <w:lvlText w:val="‒"/>
      <w:lvlJc w:val="left"/>
      <w:pPr>
        <w:tabs>
          <w:tab w:val="num" w:pos="340"/>
        </w:tabs>
        <w:ind w:left="2381" w:hanging="340"/>
      </w:pPr>
      <w:rPr>
        <w:rFonts w:ascii="Calibri" w:hAnsi="Calibri" w:hint="default"/>
      </w:rPr>
    </w:lvl>
    <w:lvl w:ilvl="4" w:tplc="EB20ACEC">
      <w:start w:val="1"/>
      <w:numFmt w:val="bullet"/>
      <w:lvlText w:val="‒"/>
      <w:lvlJc w:val="left"/>
      <w:pPr>
        <w:tabs>
          <w:tab w:val="num" w:pos="340"/>
        </w:tabs>
        <w:ind w:left="2722" w:hanging="341"/>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31">
    <w:nsid w:val="58D05FCB"/>
    <w:multiLevelType w:val="hybridMultilevel"/>
    <w:tmpl w:val="047ECD48"/>
    <w:lvl w:ilvl="0" w:tplc="EBEC7922">
      <w:start w:val="1"/>
      <w:numFmt w:val="bullet"/>
      <w:pStyle w:val="BL3"/>
      <w:lvlText w:val="-"/>
      <w:lvlJc w:val="left"/>
      <w:pPr>
        <w:ind w:left="2421" w:hanging="360"/>
      </w:pPr>
      <w:rPr>
        <w:rFonts w:ascii="Courier New" w:hAnsi="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2">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33">
    <w:nsid w:val="5E3B5535"/>
    <w:multiLevelType w:val="hybridMultilevel"/>
    <w:tmpl w:val="C2EE95D4"/>
    <w:lvl w:ilvl="0" w:tplc="04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1A54774"/>
    <w:multiLevelType w:val="hybridMultilevel"/>
    <w:tmpl w:val="DB00309E"/>
    <w:lvl w:ilvl="0" w:tplc="04BAB2B2">
      <w:start w:val="1"/>
      <w:numFmt w:val="lowerLetter"/>
      <w:pStyle w:val="ProposedAction"/>
      <w:lvlText w:val="%1)"/>
      <w:lvlJc w:val="left"/>
      <w:pPr>
        <w:tabs>
          <w:tab w:val="num" w:pos="425"/>
        </w:tabs>
        <w:ind w:left="2268" w:hanging="425"/>
      </w:pPr>
      <w:rPr>
        <w:rFonts w:hint="default"/>
      </w:rPr>
    </w:lvl>
    <w:lvl w:ilvl="1" w:tplc="A8CE7C10">
      <w:start w:val="1"/>
      <w:numFmt w:val="lowerRoman"/>
      <w:lvlText w:val="%2)"/>
      <w:lvlJc w:val="left"/>
      <w:pPr>
        <w:tabs>
          <w:tab w:val="num" w:pos="567"/>
        </w:tabs>
        <w:ind w:left="2835" w:hanging="567"/>
      </w:pPr>
      <w:rPr>
        <w:rFonts w:hint="default"/>
      </w:r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5">
    <w:nsid w:val="63E515CF"/>
    <w:multiLevelType w:val="singleLevel"/>
    <w:tmpl w:val="7A00B8A4"/>
    <w:name w:val="templateBulletBox1"/>
    <w:lvl w:ilvl="0">
      <w:start w:val="1"/>
      <w:numFmt w:val="bullet"/>
      <w:lvlText w:val="·"/>
      <w:lvlJc w:val="left"/>
      <w:pPr>
        <w:tabs>
          <w:tab w:val="num" w:pos="850"/>
        </w:tabs>
        <w:ind w:left="850" w:hanging="408"/>
      </w:pPr>
      <w:rPr>
        <w:rFonts w:ascii="Symbol" w:hAnsi="Symbol" w:cs="Times New Roman" w:hint="default"/>
        <w:b w:val="0"/>
        <w:i w:val="0"/>
        <w:sz w:val="22"/>
      </w:rPr>
    </w:lvl>
  </w:abstractNum>
  <w:abstractNum w:abstractNumId="36">
    <w:nsid w:val="67EA56F6"/>
    <w:multiLevelType w:val="hybridMultilevel"/>
    <w:tmpl w:val="7380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8247DDB"/>
    <w:multiLevelType w:val="hybridMultilevel"/>
    <w:tmpl w:val="3D262AEC"/>
    <w:lvl w:ilvl="0" w:tplc="04F0B39C">
      <w:start w:val="1"/>
      <w:numFmt w:val="lowerRoman"/>
      <w:pStyle w:val="NL3"/>
      <w:lvlText w:val="%1."/>
      <w:lvlJc w:val="left"/>
      <w:pPr>
        <w:ind w:left="1400" w:hanging="360"/>
      </w:pPr>
      <w:rPr>
        <w:rFonts w:hint="default"/>
        <w:b w:val="0"/>
        <w:i w:val="0"/>
        <w:color w:val="auto"/>
        <w:sz w:val="22"/>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8">
    <w:nsid w:val="68461D6C"/>
    <w:multiLevelType w:val="hybridMultilevel"/>
    <w:tmpl w:val="C44E9C2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9">
    <w:nsid w:val="68635F59"/>
    <w:multiLevelType w:val="hybridMultilevel"/>
    <w:tmpl w:val="353CBDD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0">
    <w:nsid w:val="6B0C0806"/>
    <w:multiLevelType w:val="hybridMultilevel"/>
    <w:tmpl w:val="9A70333E"/>
    <w:lvl w:ilvl="0" w:tplc="516AC9A2">
      <w:start w:val="1"/>
      <w:numFmt w:val="lowerLetter"/>
      <w:pStyle w:val="NL4"/>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41">
    <w:nsid w:val="6B240ABC"/>
    <w:multiLevelType w:val="hybridMultilevel"/>
    <w:tmpl w:val="73B2F746"/>
    <w:lvl w:ilvl="0" w:tplc="EC40EEC4">
      <w:start w:val="1"/>
      <w:numFmt w:val="bullet"/>
      <w:pStyle w:val="Annotation"/>
      <w:lvlText w:val="‒"/>
      <w:lvlJc w:val="left"/>
      <w:pPr>
        <w:ind w:left="981" w:hanging="41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C81B0E"/>
    <w:multiLevelType w:val="hybridMultilevel"/>
    <w:tmpl w:val="075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46A4A40"/>
    <w:multiLevelType w:val="hybridMultilevel"/>
    <w:tmpl w:val="4650DFD4"/>
    <w:lvl w:ilvl="0" w:tplc="631A7C9E">
      <w:start w:val="1"/>
      <w:numFmt w:val="lowerLetter"/>
      <w:pStyle w:val="NL2"/>
      <w:lvlText w:val="%1."/>
      <w:lvlJc w:val="left"/>
      <w:pPr>
        <w:ind w:left="2758" w:hanging="360"/>
      </w:pPr>
      <w:rPr>
        <w:rFonts w:hint="default"/>
        <w:b w:val="0"/>
        <w:i w:val="0"/>
        <w:color w:val="auto"/>
        <w:sz w:val="22"/>
      </w:rPr>
    </w:lvl>
    <w:lvl w:ilvl="1" w:tplc="08090019" w:tentative="1">
      <w:start w:val="1"/>
      <w:numFmt w:val="lowerLetter"/>
      <w:lvlText w:val="%2."/>
      <w:lvlJc w:val="left"/>
      <w:pPr>
        <w:ind w:left="3478" w:hanging="360"/>
      </w:pPr>
    </w:lvl>
    <w:lvl w:ilvl="2" w:tplc="0809001B" w:tentative="1">
      <w:start w:val="1"/>
      <w:numFmt w:val="lowerRoman"/>
      <w:lvlText w:val="%3."/>
      <w:lvlJc w:val="right"/>
      <w:pPr>
        <w:ind w:left="4198" w:hanging="180"/>
      </w:pPr>
    </w:lvl>
    <w:lvl w:ilvl="3" w:tplc="0809000F" w:tentative="1">
      <w:start w:val="1"/>
      <w:numFmt w:val="decimal"/>
      <w:lvlText w:val="%4."/>
      <w:lvlJc w:val="left"/>
      <w:pPr>
        <w:ind w:left="4918" w:hanging="360"/>
      </w:pPr>
    </w:lvl>
    <w:lvl w:ilvl="4" w:tplc="08090019" w:tentative="1">
      <w:start w:val="1"/>
      <w:numFmt w:val="lowerLetter"/>
      <w:lvlText w:val="%5."/>
      <w:lvlJc w:val="left"/>
      <w:pPr>
        <w:ind w:left="5638" w:hanging="360"/>
      </w:pPr>
    </w:lvl>
    <w:lvl w:ilvl="5" w:tplc="0809001B" w:tentative="1">
      <w:start w:val="1"/>
      <w:numFmt w:val="lowerRoman"/>
      <w:lvlText w:val="%6."/>
      <w:lvlJc w:val="right"/>
      <w:pPr>
        <w:ind w:left="6358" w:hanging="180"/>
      </w:pPr>
    </w:lvl>
    <w:lvl w:ilvl="6" w:tplc="0809000F" w:tentative="1">
      <w:start w:val="1"/>
      <w:numFmt w:val="decimal"/>
      <w:lvlText w:val="%7."/>
      <w:lvlJc w:val="left"/>
      <w:pPr>
        <w:ind w:left="7078" w:hanging="360"/>
      </w:pPr>
    </w:lvl>
    <w:lvl w:ilvl="7" w:tplc="08090019" w:tentative="1">
      <w:start w:val="1"/>
      <w:numFmt w:val="lowerLetter"/>
      <w:lvlText w:val="%8."/>
      <w:lvlJc w:val="left"/>
      <w:pPr>
        <w:ind w:left="7798" w:hanging="360"/>
      </w:pPr>
    </w:lvl>
    <w:lvl w:ilvl="8" w:tplc="0809001B" w:tentative="1">
      <w:start w:val="1"/>
      <w:numFmt w:val="lowerRoman"/>
      <w:lvlText w:val="%9."/>
      <w:lvlJc w:val="right"/>
      <w:pPr>
        <w:ind w:left="8518" w:hanging="180"/>
      </w:pPr>
    </w:lvl>
  </w:abstractNum>
  <w:abstractNum w:abstractNumId="44">
    <w:nsid w:val="75D666C8"/>
    <w:multiLevelType w:val="hybridMultilevel"/>
    <w:tmpl w:val="0D7817F0"/>
    <w:lvl w:ilvl="0" w:tplc="628287D2">
      <w:start w:val="1"/>
      <w:numFmt w:val="bullet"/>
      <w:lvlText w:val="►"/>
      <w:lvlJc w:val="left"/>
      <w:pPr>
        <w:ind w:left="357" w:hanging="35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0040F2"/>
    <w:multiLevelType w:val="hybridMultilevel"/>
    <w:tmpl w:val="7380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7"/>
  </w:num>
  <w:num w:numId="3">
    <w:abstractNumId w:val="8"/>
  </w:num>
  <w:num w:numId="4">
    <w:abstractNumId w:val="24"/>
  </w:num>
  <w:num w:numId="5">
    <w:abstractNumId w:val="3"/>
  </w:num>
  <w:num w:numId="6">
    <w:abstractNumId w:val="16"/>
  </w:num>
  <w:num w:numId="7">
    <w:abstractNumId w:val="25"/>
  </w:num>
  <w:num w:numId="8">
    <w:abstractNumId w:val="30"/>
  </w:num>
  <w:num w:numId="9">
    <w:abstractNumId w:val="32"/>
  </w:num>
  <w:num w:numId="10">
    <w:abstractNumId w:val="19"/>
  </w:num>
  <w:num w:numId="11">
    <w:abstractNumId w:val="14"/>
  </w:num>
  <w:num w:numId="12">
    <w:abstractNumId w:val="12"/>
  </w:num>
  <w:num w:numId="13">
    <w:abstractNumId w:val="27"/>
  </w:num>
  <w:num w:numId="14">
    <w:abstractNumId w:val="34"/>
  </w:num>
  <w:num w:numId="15">
    <w:abstractNumId w:val="43"/>
  </w:num>
  <w:num w:numId="16">
    <w:abstractNumId w:val="37"/>
  </w:num>
  <w:num w:numId="17">
    <w:abstractNumId w:val="40"/>
  </w:num>
  <w:num w:numId="18">
    <w:abstractNumId w:val="9"/>
  </w:num>
  <w:num w:numId="19">
    <w:abstractNumId w:val="13"/>
  </w:num>
  <w:num w:numId="20">
    <w:abstractNumId w:val="31"/>
  </w:num>
  <w:num w:numId="21">
    <w:abstractNumId w:val="10"/>
  </w:num>
  <w:num w:numId="22">
    <w:abstractNumId w:val="41"/>
  </w:num>
  <w:num w:numId="23">
    <w:abstractNumId w:val="29"/>
  </w:num>
  <w:num w:numId="24">
    <w:abstractNumId w:val="27"/>
  </w:num>
  <w:num w:numId="25">
    <w:abstractNumId w:val="29"/>
  </w:num>
  <w:num w:numId="26">
    <w:abstractNumId w:val="15"/>
  </w:num>
  <w:num w:numId="27">
    <w:abstractNumId w:val="17"/>
  </w:num>
  <w:num w:numId="28">
    <w:abstractNumId w:val="38"/>
  </w:num>
  <w:num w:numId="29">
    <w:abstractNumId w:val="22"/>
  </w:num>
  <w:num w:numId="30">
    <w:abstractNumId w:val="23"/>
  </w:num>
  <w:num w:numId="31">
    <w:abstractNumId w:val="12"/>
    <w:lvlOverride w:ilvl="0">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lvlOverride w:ilvl="2"/>
    <w:lvlOverride w:ilvl="3"/>
    <w:lvlOverride w:ilvl="4"/>
    <w:lvlOverride w:ilvl="5"/>
    <w:lvlOverride w:ilvl="6"/>
    <w:lvlOverride w:ilvl="7"/>
    <w:lvlOverride w:ilvl="8"/>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1"/>
  </w:num>
  <w:num w:numId="42">
    <w:abstractNumId w:val="44"/>
  </w:num>
  <w:num w:numId="43">
    <w:abstractNumId w:val="1"/>
  </w:num>
  <w:num w:numId="44">
    <w:abstractNumId w:val="27"/>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Heading3"/>
        <w:suff w:val="space"/>
        <w:lvlText w:val="%1.%2.%3."/>
        <w:lvlJc w:val="left"/>
        <w:pPr>
          <w:ind w:left="680" w:firstLine="0"/>
        </w:pPr>
        <w:rPr>
          <w:rFonts w:hint="default"/>
        </w:rPr>
      </w:lvl>
    </w:lvlOverride>
    <w:lvlOverride w:ilvl="3">
      <w:lvl w:ilvl="3">
        <w:start w:val="1"/>
        <w:numFmt w:val="none"/>
        <w:pStyle w:val="Heading4"/>
        <w:suff w:val="nothing"/>
        <w:lvlText w:val=""/>
        <w:lvlJc w:val="left"/>
        <w:pPr>
          <w:ind w:left="680" w:firstLine="0"/>
        </w:pPr>
        <w:rPr>
          <w:rFonts w:hint="default"/>
        </w:rPr>
      </w:lvl>
    </w:lvlOverride>
    <w:lvlOverride w:ilvl="4">
      <w:lvl w:ilvl="4">
        <w:start w:val="1"/>
        <w:numFmt w:val="none"/>
        <w:pStyle w:val="Heading5"/>
        <w:suff w:val="nothing"/>
        <w:lvlText w:val=""/>
        <w:lvlJc w:val="left"/>
        <w:pPr>
          <w:ind w:left="680" w:firstLine="0"/>
        </w:pPr>
        <w:rPr>
          <w:rFonts w:hint="default"/>
        </w:rPr>
      </w:lvl>
    </w:lvlOverride>
    <w:lvlOverride w:ilvl="5">
      <w:lvl w:ilvl="5">
        <w:start w:val="1"/>
        <w:numFmt w:val="none"/>
        <w:pStyle w:val="Heading6"/>
        <w:suff w:val="nothing"/>
        <w:lvlText w:val=""/>
        <w:lvlJc w:val="left"/>
        <w:pPr>
          <w:ind w:left="680" w:firstLine="0"/>
        </w:pPr>
        <w:rPr>
          <w:rFonts w:hint="default"/>
        </w:rPr>
      </w:lvl>
    </w:lvlOverride>
    <w:lvlOverride w:ilvl="6">
      <w:lvl w:ilvl="6">
        <w:start w:val="1"/>
        <w:numFmt w:val="upperLetter"/>
        <w:lvlRestart w:val="0"/>
        <w:pStyle w:val="Heading7"/>
        <w:suff w:val="space"/>
        <w:lvlText w:val="Annex %7."/>
        <w:lvlJc w:val="center"/>
        <w:pPr>
          <w:ind w:left="0" w:firstLine="288"/>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7">
      <w:lvl w:ilvl="7">
        <w:start w:val="1"/>
        <w:numFmt w:val="none"/>
        <w:pStyle w:val="Heading8"/>
        <w:suff w:val="nothing"/>
        <w:lvlText w:val=""/>
        <w:lvlJc w:val="left"/>
        <w:pPr>
          <w:ind w:left="680" w:firstLine="0"/>
        </w:pPr>
        <w:rPr>
          <w:rFonts w:hint="default"/>
        </w:rPr>
      </w:lvl>
    </w:lvlOverride>
    <w:lvlOverride w:ilvl="8">
      <w:lvl w:ilvl="8">
        <w:start w:val="1"/>
        <w:numFmt w:val="none"/>
        <w:pStyle w:val="Heading9"/>
        <w:suff w:val="nothing"/>
        <w:lvlText w:val=""/>
        <w:lvlJc w:val="left"/>
        <w:pPr>
          <w:ind w:left="680" w:firstLine="0"/>
        </w:pPr>
        <w:rPr>
          <w:rFonts w:hint="default"/>
        </w:rPr>
      </w:lvl>
    </w:lvlOverride>
  </w:num>
  <w:num w:numId="45">
    <w:abstractNumId w:val="5"/>
  </w:num>
  <w:num w:numId="46">
    <w:abstractNumId w:val="28"/>
  </w:num>
  <w:num w:numId="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removePersonalInformation/>
  <w:removeDateAndTime/>
  <w:embedSystemFonts/>
  <w:hideSpellingErrors/>
  <w:hideGrammaticalErrors/>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680"/>
  <w:evenAndOddHeaders/>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2"/>
  </w:compat>
  <w:rsids>
    <w:rsidRoot w:val="00D028B4"/>
    <w:rsid w:val="00005323"/>
    <w:rsid w:val="00005399"/>
    <w:rsid w:val="00011D4C"/>
    <w:rsid w:val="00011E74"/>
    <w:rsid w:val="00011FC3"/>
    <w:rsid w:val="0001214C"/>
    <w:rsid w:val="000126B6"/>
    <w:rsid w:val="000144F8"/>
    <w:rsid w:val="0001496E"/>
    <w:rsid w:val="00014D2D"/>
    <w:rsid w:val="000154AA"/>
    <w:rsid w:val="00016455"/>
    <w:rsid w:val="00021130"/>
    <w:rsid w:val="000251B9"/>
    <w:rsid w:val="0002530C"/>
    <w:rsid w:val="00025365"/>
    <w:rsid w:val="00026CBD"/>
    <w:rsid w:val="00026DD4"/>
    <w:rsid w:val="00027DF3"/>
    <w:rsid w:val="000308EA"/>
    <w:rsid w:val="0003295F"/>
    <w:rsid w:val="000329D9"/>
    <w:rsid w:val="00033198"/>
    <w:rsid w:val="000343F7"/>
    <w:rsid w:val="00034F1B"/>
    <w:rsid w:val="0004146B"/>
    <w:rsid w:val="00045200"/>
    <w:rsid w:val="0004537E"/>
    <w:rsid w:val="0004777B"/>
    <w:rsid w:val="0005019D"/>
    <w:rsid w:val="0005055B"/>
    <w:rsid w:val="00051CB7"/>
    <w:rsid w:val="00055465"/>
    <w:rsid w:val="00061499"/>
    <w:rsid w:val="00062010"/>
    <w:rsid w:val="00062CDD"/>
    <w:rsid w:val="00063E7C"/>
    <w:rsid w:val="00063F77"/>
    <w:rsid w:val="0006447F"/>
    <w:rsid w:val="000644BB"/>
    <w:rsid w:val="00064895"/>
    <w:rsid w:val="00071585"/>
    <w:rsid w:val="00072D60"/>
    <w:rsid w:val="0007372D"/>
    <w:rsid w:val="00074DA7"/>
    <w:rsid w:val="00075555"/>
    <w:rsid w:val="00077652"/>
    <w:rsid w:val="000777C6"/>
    <w:rsid w:val="00077D37"/>
    <w:rsid w:val="000807C7"/>
    <w:rsid w:val="00080B34"/>
    <w:rsid w:val="00080CC5"/>
    <w:rsid w:val="00082123"/>
    <w:rsid w:val="000835D8"/>
    <w:rsid w:val="00090322"/>
    <w:rsid w:val="00093357"/>
    <w:rsid w:val="000934AE"/>
    <w:rsid w:val="00093AF1"/>
    <w:rsid w:val="000951C0"/>
    <w:rsid w:val="00097D04"/>
    <w:rsid w:val="000A4D50"/>
    <w:rsid w:val="000B07EA"/>
    <w:rsid w:val="000B33EF"/>
    <w:rsid w:val="000B4C31"/>
    <w:rsid w:val="000B5552"/>
    <w:rsid w:val="000B61CA"/>
    <w:rsid w:val="000B65EB"/>
    <w:rsid w:val="000B67E9"/>
    <w:rsid w:val="000B7010"/>
    <w:rsid w:val="000C0B2E"/>
    <w:rsid w:val="000C1FE9"/>
    <w:rsid w:val="000C57D1"/>
    <w:rsid w:val="000C5C84"/>
    <w:rsid w:val="000C7F3C"/>
    <w:rsid w:val="000D0C94"/>
    <w:rsid w:val="000D27FA"/>
    <w:rsid w:val="000D2E0D"/>
    <w:rsid w:val="000D3B1E"/>
    <w:rsid w:val="000D49BE"/>
    <w:rsid w:val="000D4A13"/>
    <w:rsid w:val="000D4A63"/>
    <w:rsid w:val="000D4F79"/>
    <w:rsid w:val="000D678B"/>
    <w:rsid w:val="000E0DC7"/>
    <w:rsid w:val="000E261E"/>
    <w:rsid w:val="000E2AB5"/>
    <w:rsid w:val="000E4706"/>
    <w:rsid w:val="000E621E"/>
    <w:rsid w:val="000E6861"/>
    <w:rsid w:val="000F2AA9"/>
    <w:rsid w:val="000F3CCE"/>
    <w:rsid w:val="000F47C6"/>
    <w:rsid w:val="0010021A"/>
    <w:rsid w:val="0010029F"/>
    <w:rsid w:val="0010304E"/>
    <w:rsid w:val="00104BAB"/>
    <w:rsid w:val="0010727A"/>
    <w:rsid w:val="00107536"/>
    <w:rsid w:val="00110792"/>
    <w:rsid w:val="00112A7D"/>
    <w:rsid w:val="001130DE"/>
    <w:rsid w:val="00117C40"/>
    <w:rsid w:val="001210A6"/>
    <w:rsid w:val="00121C55"/>
    <w:rsid w:val="00124EA7"/>
    <w:rsid w:val="00125CE4"/>
    <w:rsid w:val="00135F9A"/>
    <w:rsid w:val="0013767F"/>
    <w:rsid w:val="00140CD6"/>
    <w:rsid w:val="00142EBB"/>
    <w:rsid w:val="00143A09"/>
    <w:rsid w:val="00144536"/>
    <w:rsid w:val="001446C3"/>
    <w:rsid w:val="00144AAA"/>
    <w:rsid w:val="0014599E"/>
    <w:rsid w:val="00146099"/>
    <w:rsid w:val="0014764C"/>
    <w:rsid w:val="00147EE5"/>
    <w:rsid w:val="00152E1A"/>
    <w:rsid w:val="001535C6"/>
    <w:rsid w:val="0015541F"/>
    <w:rsid w:val="00155E65"/>
    <w:rsid w:val="00156910"/>
    <w:rsid w:val="001576DC"/>
    <w:rsid w:val="00157FE1"/>
    <w:rsid w:val="00160A12"/>
    <w:rsid w:val="00160F6B"/>
    <w:rsid w:val="00161385"/>
    <w:rsid w:val="00161665"/>
    <w:rsid w:val="00163E5E"/>
    <w:rsid w:val="00166D01"/>
    <w:rsid w:val="00167C2B"/>
    <w:rsid w:val="00172E7B"/>
    <w:rsid w:val="00175DE2"/>
    <w:rsid w:val="0017639D"/>
    <w:rsid w:val="00176E48"/>
    <w:rsid w:val="00177EDA"/>
    <w:rsid w:val="00180584"/>
    <w:rsid w:val="00180CA2"/>
    <w:rsid w:val="00181E63"/>
    <w:rsid w:val="00182182"/>
    <w:rsid w:val="00182F04"/>
    <w:rsid w:val="00184759"/>
    <w:rsid w:val="00184A8D"/>
    <w:rsid w:val="0018799A"/>
    <w:rsid w:val="00191D92"/>
    <w:rsid w:val="0019278C"/>
    <w:rsid w:val="00192C91"/>
    <w:rsid w:val="00192D69"/>
    <w:rsid w:val="00193F33"/>
    <w:rsid w:val="001946EF"/>
    <w:rsid w:val="00195ABC"/>
    <w:rsid w:val="001A0500"/>
    <w:rsid w:val="001A0CE7"/>
    <w:rsid w:val="001A139E"/>
    <w:rsid w:val="001A26C1"/>
    <w:rsid w:val="001A75DB"/>
    <w:rsid w:val="001B0BC0"/>
    <w:rsid w:val="001B2BFA"/>
    <w:rsid w:val="001B4AE1"/>
    <w:rsid w:val="001B792D"/>
    <w:rsid w:val="001C6CA8"/>
    <w:rsid w:val="001D0B22"/>
    <w:rsid w:val="001D28BB"/>
    <w:rsid w:val="001D63CC"/>
    <w:rsid w:val="001E1044"/>
    <w:rsid w:val="001E2433"/>
    <w:rsid w:val="001E4947"/>
    <w:rsid w:val="001E6658"/>
    <w:rsid w:val="001E6919"/>
    <w:rsid w:val="001F4E7D"/>
    <w:rsid w:val="001F7528"/>
    <w:rsid w:val="002016DC"/>
    <w:rsid w:val="00203181"/>
    <w:rsid w:val="00204916"/>
    <w:rsid w:val="00204CB6"/>
    <w:rsid w:val="00207A1F"/>
    <w:rsid w:val="00211F98"/>
    <w:rsid w:val="00216705"/>
    <w:rsid w:val="0021741F"/>
    <w:rsid w:val="00217B7B"/>
    <w:rsid w:val="00233FA1"/>
    <w:rsid w:val="0023686F"/>
    <w:rsid w:val="00236AA5"/>
    <w:rsid w:val="00237E4C"/>
    <w:rsid w:val="0024086A"/>
    <w:rsid w:val="00240D9F"/>
    <w:rsid w:val="00242F6F"/>
    <w:rsid w:val="00244D4C"/>
    <w:rsid w:val="00244E26"/>
    <w:rsid w:val="00245B62"/>
    <w:rsid w:val="00245EDF"/>
    <w:rsid w:val="00251677"/>
    <w:rsid w:val="0025216E"/>
    <w:rsid w:val="00253345"/>
    <w:rsid w:val="00253602"/>
    <w:rsid w:val="00253992"/>
    <w:rsid w:val="002542F7"/>
    <w:rsid w:val="0025472D"/>
    <w:rsid w:val="00256A0E"/>
    <w:rsid w:val="002570D8"/>
    <w:rsid w:val="00257EDF"/>
    <w:rsid w:val="0026034D"/>
    <w:rsid w:val="00261519"/>
    <w:rsid w:val="00262675"/>
    <w:rsid w:val="002638DA"/>
    <w:rsid w:val="00263BDB"/>
    <w:rsid w:val="002643B3"/>
    <w:rsid w:val="00264866"/>
    <w:rsid w:val="0026714C"/>
    <w:rsid w:val="002768AE"/>
    <w:rsid w:val="00276DDE"/>
    <w:rsid w:val="002837E5"/>
    <w:rsid w:val="0028408B"/>
    <w:rsid w:val="00285635"/>
    <w:rsid w:val="00286711"/>
    <w:rsid w:val="0029179E"/>
    <w:rsid w:val="00291C89"/>
    <w:rsid w:val="00293CCC"/>
    <w:rsid w:val="002940D4"/>
    <w:rsid w:val="0029646F"/>
    <w:rsid w:val="002965A6"/>
    <w:rsid w:val="00296C27"/>
    <w:rsid w:val="002A1A91"/>
    <w:rsid w:val="002A1E32"/>
    <w:rsid w:val="002A6730"/>
    <w:rsid w:val="002A6985"/>
    <w:rsid w:val="002B10A9"/>
    <w:rsid w:val="002B1D8E"/>
    <w:rsid w:val="002B1EC5"/>
    <w:rsid w:val="002B4300"/>
    <w:rsid w:val="002B4931"/>
    <w:rsid w:val="002C04B1"/>
    <w:rsid w:val="002C05C6"/>
    <w:rsid w:val="002C1490"/>
    <w:rsid w:val="002C2C6E"/>
    <w:rsid w:val="002C4BC8"/>
    <w:rsid w:val="002C6328"/>
    <w:rsid w:val="002C763E"/>
    <w:rsid w:val="002D0A92"/>
    <w:rsid w:val="002D1373"/>
    <w:rsid w:val="002D2446"/>
    <w:rsid w:val="002D294D"/>
    <w:rsid w:val="002D299F"/>
    <w:rsid w:val="002D3335"/>
    <w:rsid w:val="002D33DD"/>
    <w:rsid w:val="002D3F71"/>
    <w:rsid w:val="002D57CD"/>
    <w:rsid w:val="002D7D58"/>
    <w:rsid w:val="002E1821"/>
    <w:rsid w:val="002E1D3B"/>
    <w:rsid w:val="002E29E1"/>
    <w:rsid w:val="002E2F2C"/>
    <w:rsid w:val="002E3058"/>
    <w:rsid w:val="002E363F"/>
    <w:rsid w:val="002E4911"/>
    <w:rsid w:val="002E6072"/>
    <w:rsid w:val="002E6A76"/>
    <w:rsid w:val="002E7431"/>
    <w:rsid w:val="002F2049"/>
    <w:rsid w:val="002F254E"/>
    <w:rsid w:val="002F31BD"/>
    <w:rsid w:val="002F50D3"/>
    <w:rsid w:val="002F7F49"/>
    <w:rsid w:val="00300AAB"/>
    <w:rsid w:val="0030108F"/>
    <w:rsid w:val="00301B53"/>
    <w:rsid w:val="00304F48"/>
    <w:rsid w:val="003076F3"/>
    <w:rsid w:val="00312A83"/>
    <w:rsid w:val="00313969"/>
    <w:rsid w:val="00314289"/>
    <w:rsid w:val="003143DD"/>
    <w:rsid w:val="003162E3"/>
    <w:rsid w:val="00317AF7"/>
    <w:rsid w:val="0032166C"/>
    <w:rsid w:val="00325216"/>
    <w:rsid w:val="00325310"/>
    <w:rsid w:val="00326DC8"/>
    <w:rsid w:val="00327A49"/>
    <w:rsid w:val="00333176"/>
    <w:rsid w:val="0033382E"/>
    <w:rsid w:val="003358B9"/>
    <w:rsid w:val="00335ABE"/>
    <w:rsid w:val="00341A50"/>
    <w:rsid w:val="003430AB"/>
    <w:rsid w:val="00343EAE"/>
    <w:rsid w:val="003444C8"/>
    <w:rsid w:val="00346353"/>
    <w:rsid w:val="003463F6"/>
    <w:rsid w:val="00346572"/>
    <w:rsid w:val="00347424"/>
    <w:rsid w:val="0035204A"/>
    <w:rsid w:val="00352081"/>
    <w:rsid w:val="0035286E"/>
    <w:rsid w:val="00352C25"/>
    <w:rsid w:val="00352F37"/>
    <w:rsid w:val="00353256"/>
    <w:rsid w:val="00353D51"/>
    <w:rsid w:val="0035691B"/>
    <w:rsid w:val="00356B49"/>
    <w:rsid w:val="0036043F"/>
    <w:rsid w:val="003633D5"/>
    <w:rsid w:val="00365034"/>
    <w:rsid w:val="003662E5"/>
    <w:rsid w:val="00371785"/>
    <w:rsid w:val="00373268"/>
    <w:rsid w:val="003732FD"/>
    <w:rsid w:val="00380940"/>
    <w:rsid w:val="00380AEE"/>
    <w:rsid w:val="003820F2"/>
    <w:rsid w:val="00382616"/>
    <w:rsid w:val="00386DD3"/>
    <w:rsid w:val="00390900"/>
    <w:rsid w:val="00391F9D"/>
    <w:rsid w:val="00393F57"/>
    <w:rsid w:val="00396277"/>
    <w:rsid w:val="003974D4"/>
    <w:rsid w:val="003A028D"/>
    <w:rsid w:val="003A1CBD"/>
    <w:rsid w:val="003A2073"/>
    <w:rsid w:val="003A3E50"/>
    <w:rsid w:val="003A6C74"/>
    <w:rsid w:val="003A7138"/>
    <w:rsid w:val="003A7578"/>
    <w:rsid w:val="003A7D98"/>
    <w:rsid w:val="003B06BD"/>
    <w:rsid w:val="003B088D"/>
    <w:rsid w:val="003B0F4B"/>
    <w:rsid w:val="003B11CE"/>
    <w:rsid w:val="003B18FD"/>
    <w:rsid w:val="003B5897"/>
    <w:rsid w:val="003B79EE"/>
    <w:rsid w:val="003C018B"/>
    <w:rsid w:val="003C1B88"/>
    <w:rsid w:val="003C2926"/>
    <w:rsid w:val="003C3DAB"/>
    <w:rsid w:val="003C4BEC"/>
    <w:rsid w:val="003C57B2"/>
    <w:rsid w:val="003C6757"/>
    <w:rsid w:val="003D1DC9"/>
    <w:rsid w:val="003D601A"/>
    <w:rsid w:val="003D6704"/>
    <w:rsid w:val="003D7C16"/>
    <w:rsid w:val="003E32B2"/>
    <w:rsid w:val="003E5468"/>
    <w:rsid w:val="003E64F5"/>
    <w:rsid w:val="003E65FF"/>
    <w:rsid w:val="003E726F"/>
    <w:rsid w:val="003E7DB3"/>
    <w:rsid w:val="003F04ED"/>
    <w:rsid w:val="003F05AC"/>
    <w:rsid w:val="003F0BE2"/>
    <w:rsid w:val="003F5D07"/>
    <w:rsid w:val="003F78D2"/>
    <w:rsid w:val="00400B4E"/>
    <w:rsid w:val="00400CDD"/>
    <w:rsid w:val="00401762"/>
    <w:rsid w:val="00401EB2"/>
    <w:rsid w:val="0040313A"/>
    <w:rsid w:val="00403AE9"/>
    <w:rsid w:val="00403E01"/>
    <w:rsid w:val="004116D7"/>
    <w:rsid w:val="0041210D"/>
    <w:rsid w:val="004125C2"/>
    <w:rsid w:val="00415384"/>
    <w:rsid w:val="00415F66"/>
    <w:rsid w:val="004176C5"/>
    <w:rsid w:val="00417934"/>
    <w:rsid w:val="00420875"/>
    <w:rsid w:val="00421C0B"/>
    <w:rsid w:val="00422172"/>
    <w:rsid w:val="00423466"/>
    <w:rsid w:val="00423C21"/>
    <w:rsid w:val="00424D5E"/>
    <w:rsid w:val="00427AD2"/>
    <w:rsid w:val="004302F2"/>
    <w:rsid w:val="00431450"/>
    <w:rsid w:val="00431978"/>
    <w:rsid w:val="00432CE3"/>
    <w:rsid w:val="00434E9E"/>
    <w:rsid w:val="004357DD"/>
    <w:rsid w:val="00437275"/>
    <w:rsid w:val="00437975"/>
    <w:rsid w:val="00437DA5"/>
    <w:rsid w:val="00443B45"/>
    <w:rsid w:val="00446657"/>
    <w:rsid w:val="00450877"/>
    <w:rsid w:val="00451DA6"/>
    <w:rsid w:val="004521F0"/>
    <w:rsid w:val="004538AD"/>
    <w:rsid w:val="00454C2D"/>
    <w:rsid w:val="00456329"/>
    <w:rsid w:val="004573D9"/>
    <w:rsid w:val="00460298"/>
    <w:rsid w:val="00461F71"/>
    <w:rsid w:val="00461FF8"/>
    <w:rsid w:val="00462B22"/>
    <w:rsid w:val="00463667"/>
    <w:rsid w:val="0046761F"/>
    <w:rsid w:val="00467684"/>
    <w:rsid w:val="004705FF"/>
    <w:rsid w:val="00472C43"/>
    <w:rsid w:val="0047379D"/>
    <w:rsid w:val="00474EAA"/>
    <w:rsid w:val="004809CE"/>
    <w:rsid w:val="00484CDB"/>
    <w:rsid w:val="00487447"/>
    <w:rsid w:val="00493B40"/>
    <w:rsid w:val="00493C96"/>
    <w:rsid w:val="00493DDF"/>
    <w:rsid w:val="00494A6C"/>
    <w:rsid w:val="00496594"/>
    <w:rsid w:val="004970CD"/>
    <w:rsid w:val="004A044A"/>
    <w:rsid w:val="004A0CFF"/>
    <w:rsid w:val="004A3731"/>
    <w:rsid w:val="004A3BBF"/>
    <w:rsid w:val="004A3D93"/>
    <w:rsid w:val="004A6045"/>
    <w:rsid w:val="004B0755"/>
    <w:rsid w:val="004B08AC"/>
    <w:rsid w:val="004B1A2B"/>
    <w:rsid w:val="004B210A"/>
    <w:rsid w:val="004B5E13"/>
    <w:rsid w:val="004B657E"/>
    <w:rsid w:val="004B71E9"/>
    <w:rsid w:val="004C04C1"/>
    <w:rsid w:val="004C080C"/>
    <w:rsid w:val="004C1414"/>
    <w:rsid w:val="004C2FBC"/>
    <w:rsid w:val="004C3760"/>
    <w:rsid w:val="004C3E55"/>
    <w:rsid w:val="004C5CA2"/>
    <w:rsid w:val="004C6C32"/>
    <w:rsid w:val="004D1772"/>
    <w:rsid w:val="004D3271"/>
    <w:rsid w:val="004D3DBF"/>
    <w:rsid w:val="004D6778"/>
    <w:rsid w:val="004E14EE"/>
    <w:rsid w:val="004E1BF1"/>
    <w:rsid w:val="004E2CBC"/>
    <w:rsid w:val="004E3049"/>
    <w:rsid w:val="004E39B1"/>
    <w:rsid w:val="004E57A9"/>
    <w:rsid w:val="004F255C"/>
    <w:rsid w:val="004F59C3"/>
    <w:rsid w:val="004F5E36"/>
    <w:rsid w:val="004F6DF4"/>
    <w:rsid w:val="004F72EA"/>
    <w:rsid w:val="005000B0"/>
    <w:rsid w:val="00501218"/>
    <w:rsid w:val="00501DF2"/>
    <w:rsid w:val="0050277A"/>
    <w:rsid w:val="005035B1"/>
    <w:rsid w:val="00506A13"/>
    <w:rsid w:val="00507D95"/>
    <w:rsid w:val="00511486"/>
    <w:rsid w:val="0051160B"/>
    <w:rsid w:val="00511C95"/>
    <w:rsid w:val="00514147"/>
    <w:rsid w:val="00514153"/>
    <w:rsid w:val="00514D72"/>
    <w:rsid w:val="0051758E"/>
    <w:rsid w:val="00517A55"/>
    <w:rsid w:val="00517D33"/>
    <w:rsid w:val="005234D4"/>
    <w:rsid w:val="00523D2F"/>
    <w:rsid w:val="005250B4"/>
    <w:rsid w:val="0052535E"/>
    <w:rsid w:val="00527EEC"/>
    <w:rsid w:val="00530172"/>
    <w:rsid w:val="00531344"/>
    <w:rsid w:val="00532B0B"/>
    <w:rsid w:val="005348D5"/>
    <w:rsid w:val="00534AC6"/>
    <w:rsid w:val="00535E75"/>
    <w:rsid w:val="00536198"/>
    <w:rsid w:val="00540EED"/>
    <w:rsid w:val="00542A55"/>
    <w:rsid w:val="005440D6"/>
    <w:rsid w:val="00547963"/>
    <w:rsid w:val="0055192D"/>
    <w:rsid w:val="005534CF"/>
    <w:rsid w:val="005621D2"/>
    <w:rsid w:val="00565ABE"/>
    <w:rsid w:val="00567D60"/>
    <w:rsid w:val="00567E91"/>
    <w:rsid w:val="0057027B"/>
    <w:rsid w:val="00571842"/>
    <w:rsid w:val="00573461"/>
    <w:rsid w:val="005749EB"/>
    <w:rsid w:val="005775AD"/>
    <w:rsid w:val="005776C8"/>
    <w:rsid w:val="0058206A"/>
    <w:rsid w:val="00582167"/>
    <w:rsid w:val="005852D4"/>
    <w:rsid w:val="005868A2"/>
    <w:rsid w:val="00590B3F"/>
    <w:rsid w:val="005973AC"/>
    <w:rsid w:val="005A0281"/>
    <w:rsid w:val="005A03D8"/>
    <w:rsid w:val="005A23B8"/>
    <w:rsid w:val="005A23B9"/>
    <w:rsid w:val="005A3399"/>
    <w:rsid w:val="005B0137"/>
    <w:rsid w:val="005B048D"/>
    <w:rsid w:val="005B1A46"/>
    <w:rsid w:val="005B1A9F"/>
    <w:rsid w:val="005B3BE2"/>
    <w:rsid w:val="005B47D2"/>
    <w:rsid w:val="005B5301"/>
    <w:rsid w:val="005B78D6"/>
    <w:rsid w:val="005C1BFB"/>
    <w:rsid w:val="005C2C9C"/>
    <w:rsid w:val="005C3138"/>
    <w:rsid w:val="005C3ED9"/>
    <w:rsid w:val="005C57C3"/>
    <w:rsid w:val="005C6220"/>
    <w:rsid w:val="005D04FA"/>
    <w:rsid w:val="005D2C4F"/>
    <w:rsid w:val="005D3406"/>
    <w:rsid w:val="005D3986"/>
    <w:rsid w:val="005D3B9E"/>
    <w:rsid w:val="005D4108"/>
    <w:rsid w:val="005D425A"/>
    <w:rsid w:val="005E1AF7"/>
    <w:rsid w:val="005E375F"/>
    <w:rsid w:val="005E4622"/>
    <w:rsid w:val="005E4DD0"/>
    <w:rsid w:val="005E53CA"/>
    <w:rsid w:val="005E768C"/>
    <w:rsid w:val="005E7FAE"/>
    <w:rsid w:val="005F0151"/>
    <w:rsid w:val="005F0607"/>
    <w:rsid w:val="005F09C7"/>
    <w:rsid w:val="005F1EB2"/>
    <w:rsid w:val="005F2678"/>
    <w:rsid w:val="005F39C2"/>
    <w:rsid w:val="005F6B77"/>
    <w:rsid w:val="005F7EB9"/>
    <w:rsid w:val="006043CD"/>
    <w:rsid w:val="0060684D"/>
    <w:rsid w:val="00606E98"/>
    <w:rsid w:val="00607D79"/>
    <w:rsid w:val="006103E3"/>
    <w:rsid w:val="0061125B"/>
    <w:rsid w:val="00612837"/>
    <w:rsid w:val="00614D6E"/>
    <w:rsid w:val="006177AF"/>
    <w:rsid w:val="00620571"/>
    <w:rsid w:val="00620A11"/>
    <w:rsid w:val="00621D11"/>
    <w:rsid w:val="00624AAA"/>
    <w:rsid w:val="006256E2"/>
    <w:rsid w:val="0062574C"/>
    <w:rsid w:val="006278E9"/>
    <w:rsid w:val="0063070F"/>
    <w:rsid w:val="00630B9E"/>
    <w:rsid w:val="00632C4C"/>
    <w:rsid w:val="0063663B"/>
    <w:rsid w:val="00637C60"/>
    <w:rsid w:val="00642407"/>
    <w:rsid w:val="0064298D"/>
    <w:rsid w:val="00642C15"/>
    <w:rsid w:val="00645444"/>
    <w:rsid w:val="00647675"/>
    <w:rsid w:val="006507F5"/>
    <w:rsid w:val="00653CBE"/>
    <w:rsid w:val="00654B5A"/>
    <w:rsid w:val="006552C7"/>
    <w:rsid w:val="006572FC"/>
    <w:rsid w:val="00660819"/>
    <w:rsid w:val="006616FD"/>
    <w:rsid w:val="00661DAB"/>
    <w:rsid w:val="00663AE6"/>
    <w:rsid w:val="00663BBF"/>
    <w:rsid w:val="00664398"/>
    <w:rsid w:val="00664EF4"/>
    <w:rsid w:val="006660D9"/>
    <w:rsid w:val="00666B1E"/>
    <w:rsid w:val="0066735E"/>
    <w:rsid w:val="006713B6"/>
    <w:rsid w:val="006714F5"/>
    <w:rsid w:val="0067183E"/>
    <w:rsid w:val="00672698"/>
    <w:rsid w:val="006727B5"/>
    <w:rsid w:val="00673A28"/>
    <w:rsid w:val="00674F7B"/>
    <w:rsid w:val="00675BBB"/>
    <w:rsid w:val="00677F9D"/>
    <w:rsid w:val="00680A22"/>
    <w:rsid w:val="006859C8"/>
    <w:rsid w:val="00685A59"/>
    <w:rsid w:val="006867BC"/>
    <w:rsid w:val="006869C8"/>
    <w:rsid w:val="00686F4C"/>
    <w:rsid w:val="006908C1"/>
    <w:rsid w:val="00691C11"/>
    <w:rsid w:val="00692DE1"/>
    <w:rsid w:val="006958A1"/>
    <w:rsid w:val="006A3086"/>
    <w:rsid w:val="006A45D7"/>
    <w:rsid w:val="006A6645"/>
    <w:rsid w:val="006A69C8"/>
    <w:rsid w:val="006A7ECC"/>
    <w:rsid w:val="006B3465"/>
    <w:rsid w:val="006B4DB3"/>
    <w:rsid w:val="006B710D"/>
    <w:rsid w:val="006B7C49"/>
    <w:rsid w:val="006C4691"/>
    <w:rsid w:val="006C55AE"/>
    <w:rsid w:val="006C65DB"/>
    <w:rsid w:val="006C72A7"/>
    <w:rsid w:val="006D11DC"/>
    <w:rsid w:val="006D1B4B"/>
    <w:rsid w:val="006D25C6"/>
    <w:rsid w:val="006D4946"/>
    <w:rsid w:val="006D6039"/>
    <w:rsid w:val="006D6C19"/>
    <w:rsid w:val="006E3C00"/>
    <w:rsid w:val="006E4FC1"/>
    <w:rsid w:val="006E7827"/>
    <w:rsid w:val="006F0301"/>
    <w:rsid w:val="006F07A2"/>
    <w:rsid w:val="006F08FF"/>
    <w:rsid w:val="006F2A44"/>
    <w:rsid w:val="006F4A4A"/>
    <w:rsid w:val="006F524D"/>
    <w:rsid w:val="006F730E"/>
    <w:rsid w:val="006F7920"/>
    <w:rsid w:val="00704981"/>
    <w:rsid w:val="00706245"/>
    <w:rsid w:val="00710937"/>
    <w:rsid w:val="00711114"/>
    <w:rsid w:val="007146E7"/>
    <w:rsid w:val="00714A83"/>
    <w:rsid w:val="00717071"/>
    <w:rsid w:val="00720E4B"/>
    <w:rsid w:val="00721448"/>
    <w:rsid w:val="00723C44"/>
    <w:rsid w:val="00724535"/>
    <w:rsid w:val="0072526E"/>
    <w:rsid w:val="007322F5"/>
    <w:rsid w:val="00733AE3"/>
    <w:rsid w:val="007361BF"/>
    <w:rsid w:val="00736666"/>
    <w:rsid w:val="00736AB5"/>
    <w:rsid w:val="00740027"/>
    <w:rsid w:val="00740742"/>
    <w:rsid w:val="00740F8E"/>
    <w:rsid w:val="007416CB"/>
    <w:rsid w:val="0074276B"/>
    <w:rsid w:val="00742D15"/>
    <w:rsid w:val="00744518"/>
    <w:rsid w:val="00751A55"/>
    <w:rsid w:val="00752284"/>
    <w:rsid w:val="007544D2"/>
    <w:rsid w:val="00754DEE"/>
    <w:rsid w:val="00761032"/>
    <w:rsid w:val="0076490C"/>
    <w:rsid w:val="00764A30"/>
    <w:rsid w:val="007667A1"/>
    <w:rsid w:val="00771912"/>
    <w:rsid w:val="00771F10"/>
    <w:rsid w:val="007731DC"/>
    <w:rsid w:val="007746C0"/>
    <w:rsid w:val="00774E4D"/>
    <w:rsid w:val="0077708A"/>
    <w:rsid w:val="00777146"/>
    <w:rsid w:val="00781153"/>
    <w:rsid w:val="00782A81"/>
    <w:rsid w:val="00783EB3"/>
    <w:rsid w:val="0078684B"/>
    <w:rsid w:val="00786948"/>
    <w:rsid w:val="007877D9"/>
    <w:rsid w:val="00791C75"/>
    <w:rsid w:val="00794FF2"/>
    <w:rsid w:val="007970FA"/>
    <w:rsid w:val="007A0040"/>
    <w:rsid w:val="007A0537"/>
    <w:rsid w:val="007A09AC"/>
    <w:rsid w:val="007A0A41"/>
    <w:rsid w:val="007A1FA0"/>
    <w:rsid w:val="007A1FCA"/>
    <w:rsid w:val="007A21EA"/>
    <w:rsid w:val="007A2F7F"/>
    <w:rsid w:val="007A5944"/>
    <w:rsid w:val="007A5EB6"/>
    <w:rsid w:val="007A73DB"/>
    <w:rsid w:val="007A7570"/>
    <w:rsid w:val="007A75A3"/>
    <w:rsid w:val="007A7704"/>
    <w:rsid w:val="007A78E7"/>
    <w:rsid w:val="007B0B9D"/>
    <w:rsid w:val="007C12A5"/>
    <w:rsid w:val="007C19E2"/>
    <w:rsid w:val="007C5BAA"/>
    <w:rsid w:val="007C5FC1"/>
    <w:rsid w:val="007C693E"/>
    <w:rsid w:val="007C7BE2"/>
    <w:rsid w:val="007D0053"/>
    <w:rsid w:val="007D0D9E"/>
    <w:rsid w:val="007D1327"/>
    <w:rsid w:val="007D57F9"/>
    <w:rsid w:val="007D6094"/>
    <w:rsid w:val="007D7AAE"/>
    <w:rsid w:val="007E2B21"/>
    <w:rsid w:val="007E3BD0"/>
    <w:rsid w:val="007E6B2A"/>
    <w:rsid w:val="007E6C14"/>
    <w:rsid w:val="007E6FBD"/>
    <w:rsid w:val="007E7F9B"/>
    <w:rsid w:val="007E7FD9"/>
    <w:rsid w:val="007F1A54"/>
    <w:rsid w:val="007F232E"/>
    <w:rsid w:val="007F442D"/>
    <w:rsid w:val="007F4836"/>
    <w:rsid w:val="007F64B5"/>
    <w:rsid w:val="007F7080"/>
    <w:rsid w:val="00804BFA"/>
    <w:rsid w:val="00804D71"/>
    <w:rsid w:val="00805EB6"/>
    <w:rsid w:val="008068DB"/>
    <w:rsid w:val="00807595"/>
    <w:rsid w:val="00807D5B"/>
    <w:rsid w:val="008125C1"/>
    <w:rsid w:val="00812977"/>
    <w:rsid w:val="00812A59"/>
    <w:rsid w:val="00812B90"/>
    <w:rsid w:val="00812BA7"/>
    <w:rsid w:val="0081312E"/>
    <w:rsid w:val="008143C6"/>
    <w:rsid w:val="00816839"/>
    <w:rsid w:val="0082276D"/>
    <w:rsid w:val="008244C6"/>
    <w:rsid w:val="00832181"/>
    <w:rsid w:val="00833845"/>
    <w:rsid w:val="0083583E"/>
    <w:rsid w:val="008368FA"/>
    <w:rsid w:val="008374FF"/>
    <w:rsid w:val="00840546"/>
    <w:rsid w:val="008407D7"/>
    <w:rsid w:val="008437CD"/>
    <w:rsid w:val="008438BE"/>
    <w:rsid w:val="00844EE4"/>
    <w:rsid w:val="00845334"/>
    <w:rsid w:val="00845CA2"/>
    <w:rsid w:val="008466AD"/>
    <w:rsid w:val="00847137"/>
    <w:rsid w:val="00847AC5"/>
    <w:rsid w:val="00852EED"/>
    <w:rsid w:val="00856650"/>
    <w:rsid w:val="00856B91"/>
    <w:rsid w:val="008609BD"/>
    <w:rsid w:val="00860B7A"/>
    <w:rsid w:val="008623BA"/>
    <w:rsid w:val="00864A14"/>
    <w:rsid w:val="0086599C"/>
    <w:rsid w:val="00865F7B"/>
    <w:rsid w:val="008673A8"/>
    <w:rsid w:val="00870FEE"/>
    <w:rsid w:val="00871436"/>
    <w:rsid w:val="0087153A"/>
    <w:rsid w:val="008715BA"/>
    <w:rsid w:val="00871C67"/>
    <w:rsid w:val="0087378A"/>
    <w:rsid w:val="008755FF"/>
    <w:rsid w:val="008756D6"/>
    <w:rsid w:val="00875CD2"/>
    <w:rsid w:val="00876C73"/>
    <w:rsid w:val="00877A1C"/>
    <w:rsid w:val="00877D56"/>
    <w:rsid w:val="008818CB"/>
    <w:rsid w:val="00881D8A"/>
    <w:rsid w:val="00883A50"/>
    <w:rsid w:val="008854F2"/>
    <w:rsid w:val="00885CB9"/>
    <w:rsid w:val="0088616B"/>
    <w:rsid w:val="00890E63"/>
    <w:rsid w:val="00892947"/>
    <w:rsid w:val="0089363F"/>
    <w:rsid w:val="00894CAE"/>
    <w:rsid w:val="00896ED5"/>
    <w:rsid w:val="0089788D"/>
    <w:rsid w:val="00897AFA"/>
    <w:rsid w:val="008A0282"/>
    <w:rsid w:val="008A115B"/>
    <w:rsid w:val="008A2E8A"/>
    <w:rsid w:val="008A2EF4"/>
    <w:rsid w:val="008A44B3"/>
    <w:rsid w:val="008A4530"/>
    <w:rsid w:val="008A60FF"/>
    <w:rsid w:val="008A6706"/>
    <w:rsid w:val="008B0851"/>
    <w:rsid w:val="008B16C3"/>
    <w:rsid w:val="008B3E23"/>
    <w:rsid w:val="008B4377"/>
    <w:rsid w:val="008B5219"/>
    <w:rsid w:val="008C20D5"/>
    <w:rsid w:val="008C2183"/>
    <w:rsid w:val="008C4304"/>
    <w:rsid w:val="008C586B"/>
    <w:rsid w:val="008C7CB6"/>
    <w:rsid w:val="008D4449"/>
    <w:rsid w:val="008D4F2B"/>
    <w:rsid w:val="008E0AC6"/>
    <w:rsid w:val="008E2533"/>
    <w:rsid w:val="008E334D"/>
    <w:rsid w:val="008E3896"/>
    <w:rsid w:val="008E38F8"/>
    <w:rsid w:val="008E4121"/>
    <w:rsid w:val="008E47F3"/>
    <w:rsid w:val="008E56D5"/>
    <w:rsid w:val="008E5E24"/>
    <w:rsid w:val="008E64A2"/>
    <w:rsid w:val="008E6BA3"/>
    <w:rsid w:val="008F1049"/>
    <w:rsid w:val="008F2D99"/>
    <w:rsid w:val="008F4854"/>
    <w:rsid w:val="008F6B92"/>
    <w:rsid w:val="00903B52"/>
    <w:rsid w:val="0090412E"/>
    <w:rsid w:val="00906271"/>
    <w:rsid w:val="00907979"/>
    <w:rsid w:val="00911B82"/>
    <w:rsid w:val="009122A6"/>
    <w:rsid w:val="009124FF"/>
    <w:rsid w:val="00913A0E"/>
    <w:rsid w:val="00913F62"/>
    <w:rsid w:val="0091681B"/>
    <w:rsid w:val="00921950"/>
    <w:rsid w:val="00922BB0"/>
    <w:rsid w:val="00924A84"/>
    <w:rsid w:val="00925B55"/>
    <w:rsid w:val="00925BBE"/>
    <w:rsid w:val="00927737"/>
    <w:rsid w:val="00927BF7"/>
    <w:rsid w:val="00932852"/>
    <w:rsid w:val="009329F5"/>
    <w:rsid w:val="00934522"/>
    <w:rsid w:val="00935691"/>
    <w:rsid w:val="00936457"/>
    <w:rsid w:val="00944E64"/>
    <w:rsid w:val="009500BB"/>
    <w:rsid w:val="00950DDE"/>
    <w:rsid w:val="00956472"/>
    <w:rsid w:val="00956635"/>
    <w:rsid w:val="009568B6"/>
    <w:rsid w:val="00956DBE"/>
    <w:rsid w:val="009577D1"/>
    <w:rsid w:val="00961010"/>
    <w:rsid w:val="00961A27"/>
    <w:rsid w:val="00961C2E"/>
    <w:rsid w:val="009635CB"/>
    <w:rsid w:val="00963B60"/>
    <w:rsid w:val="00965609"/>
    <w:rsid w:val="0097046A"/>
    <w:rsid w:val="00971ADC"/>
    <w:rsid w:val="00974BF4"/>
    <w:rsid w:val="009762D6"/>
    <w:rsid w:val="00976F53"/>
    <w:rsid w:val="009778B3"/>
    <w:rsid w:val="00977C1F"/>
    <w:rsid w:val="009821D3"/>
    <w:rsid w:val="00995691"/>
    <w:rsid w:val="009958B5"/>
    <w:rsid w:val="009A19BB"/>
    <w:rsid w:val="009A36F4"/>
    <w:rsid w:val="009A4B1E"/>
    <w:rsid w:val="009A520E"/>
    <w:rsid w:val="009A7327"/>
    <w:rsid w:val="009B03A9"/>
    <w:rsid w:val="009B2BF6"/>
    <w:rsid w:val="009B397C"/>
    <w:rsid w:val="009B3B73"/>
    <w:rsid w:val="009B3E60"/>
    <w:rsid w:val="009B536B"/>
    <w:rsid w:val="009B581B"/>
    <w:rsid w:val="009B7B99"/>
    <w:rsid w:val="009C1FD2"/>
    <w:rsid w:val="009C335E"/>
    <w:rsid w:val="009C443B"/>
    <w:rsid w:val="009D168C"/>
    <w:rsid w:val="009D1ED5"/>
    <w:rsid w:val="009D2C22"/>
    <w:rsid w:val="009D6F5E"/>
    <w:rsid w:val="009E161D"/>
    <w:rsid w:val="009E16C0"/>
    <w:rsid w:val="009E21DC"/>
    <w:rsid w:val="009E3B87"/>
    <w:rsid w:val="009E4166"/>
    <w:rsid w:val="009E4503"/>
    <w:rsid w:val="009E52F9"/>
    <w:rsid w:val="009E78A0"/>
    <w:rsid w:val="009F0A67"/>
    <w:rsid w:val="009F2419"/>
    <w:rsid w:val="009F2B71"/>
    <w:rsid w:val="009F5B4D"/>
    <w:rsid w:val="009F67CF"/>
    <w:rsid w:val="00A00A39"/>
    <w:rsid w:val="00A04C61"/>
    <w:rsid w:val="00A0613C"/>
    <w:rsid w:val="00A10B04"/>
    <w:rsid w:val="00A11545"/>
    <w:rsid w:val="00A128D1"/>
    <w:rsid w:val="00A1768F"/>
    <w:rsid w:val="00A2034B"/>
    <w:rsid w:val="00A20C33"/>
    <w:rsid w:val="00A213DE"/>
    <w:rsid w:val="00A259D4"/>
    <w:rsid w:val="00A302BA"/>
    <w:rsid w:val="00A30B03"/>
    <w:rsid w:val="00A3179C"/>
    <w:rsid w:val="00A31D41"/>
    <w:rsid w:val="00A34769"/>
    <w:rsid w:val="00A34FA2"/>
    <w:rsid w:val="00A350EE"/>
    <w:rsid w:val="00A3647B"/>
    <w:rsid w:val="00A41A12"/>
    <w:rsid w:val="00A41B11"/>
    <w:rsid w:val="00A4378B"/>
    <w:rsid w:val="00A43E78"/>
    <w:rsid w:val="00A4446A"/>
    <w:rsid w:val="00A45B66"/>
    <w:rsid w:val="00A4635D"/>
    <w:rsid w:val="00A50ED4"/>
    <w:rsid w:val="00A552AE"/>
    <w:rsid w:val="00A56B3A"/>
    <w:rsid w:val="00A61C5C"/>
    <w:rsid w:val="00A6350E"/>
    <w:rsid w:val="00A65B78"/>
    <w:rsid w:val="00A65BE8"/>
    <w:rsid w:val="00A67F7F"/>
    <w:rsid w:val="00A7090A"/>
    <w:rsid w:val="00A7274B"/>
    <w:rsid w:val="00A74F78"/>
    <w:rsid w:val="00A754CF"/>
    <w:rsid w:val="00A77EF0"/>
    <w:rsid w:val="00A84C69"/>
    <w:rsid w:val="00A85236"/>
    <w:rsid w:val="00A85D29"/>
    <w:rsid w:val="00A86526"/>
    <w:rsid w:val="00A901C2"/>
    <w:rsid w:val="00A9098D"/>
    <w:rsid w:val="00A92891"/>
    <w:rsid w:val="00A94780"/>
    <w:rsid w:val="00A9481D"/>
    <w:rsid w:val="00A95283"/>
    <w:rsid w:val="00AA110B"/>
    <w:rsid w:val="00AA12B1"/>
    <w:rsid w:val="00AA7AA7"/>
    <w:rsid w:val="00AB0948"/>
    <w:rsid w:val="00AB1E3C"/>
    <w:rsid w:val="00AB29ED"/>
    <w:rsid w:val="00AB375C"/>
    <w:rsid w:val="00AB3BDC"/>
    <w:rsid w:val="00AB43FF"/>
    <w:rsid w:val="00AB6F55"/>
    <w:rsid w:val="00AC072A"/>
    <w:rsid w:val="00AC2493"/>
    <w:rsid w:val="00AC3372"/>
    <w:rsid w:val="00AD06F3"/>
    <w:rsid w:val="00AD294B"/>
    <w:rsid w:val="00AD45FD"/>
    <w:rsid w:val="00AD5BE6"/>
    <w:rsid w:val="00AE0F94"/>
    <w:rsid w:val="00AE2618"/>
    <w:rsid w:val="00AE4700"/>
    <w:rsid w:val="00AE64F8"/>
    <w:rsid w:val="00AE6C44"/>
    <w:rsid w:val="00AF025F"/>
    <w:rsid w:val="00AF02AC"/>
    <w:rsid w:val="00AF2152"/>
    <w:rsid w:val="00AF2B39"/>
    <w:rsid w:val="00AF2DC7"/>
    <w:rsid w:val="00AF46EB"/>
    <w:rsid w:val="00B0148B"/>
    <w:rsid w:val="00B029D4"/>
    <w:rsid w:val="00B029D8"/>
    <w:rsid w:val="00B02BF9"/>
    <w:rsid w:val="00B03B6A"/>
    <w:rsid w:val="00B041FC"/>
    <w:rsid w:val="00B0531A"/>
    <w:rsid w:val="00B1090A"/>
    <w:rsid w:val="00B15D3B"/>
    <w:rsid w:val="00B17527"/>
    <w:rsid w:val="00B17E03"/>
    <w:rsid w:val="00B20B1E"/>
    <w:rsid w:val="00B217CC"/>
    <w:rsid w:val="00B2320A"/>
    <w:rsid w:val="00B30DE9"/>
    <w:rsid w:val="00B326B4"/>
    <w:rsid w:val="00B3461C"/>
    <w:rsid w:val="00B34674"/>
    <w:rsid w:val="00B35CF5"/>
    <w:rsid w:val="00B36E9D"/>
    <w:rsid w:val="00B4052E"/>
    <w:rsid w:val="00B418D3"/>
    <w:rsid w:val="00B42544"/>
    <w:rsid w:val="00B4679E"/>
    <w:rsid w:val="00B505C9"/>
    <w:rsid w:val="00B524AE"/>
    <w:rsid w:val="00B54419"/>
    <w:rsid w:val="00B57EC0"/>
    <w:rsid w:val="00B60908"/>
    <w:rsid w:val="00B60A4D"/>
    <w:rsid w:val="00B63690"/>
    <w:rsid w:val="00B63C37"/>
    <w:rsid w:val="00B643E3"/>
    <w:rsid w:val="00B705FE"/>
    <w:rsid w:val="00B72175"/>
    <w:rsid w:val="00B7564D"/>
    <w:rsid w:val="00B76151"/>
    <w:rsid w:val="00B77146"/>
    <w:rsid w:val="00B77261"/>
    <w:rsid w:val="00B773CE"/>
    <w:rsid w:val="00B77570"/>
    <w:rsid w:val="00B81F4D"/>
    <w:rsid w:val="00B8231A"/>
    <w:rsid w:val="00B83897"/>
    <w:rsid w:val="00B90145"/>
    <w:rsid w:val="00B92D93"/>
    <w:rsid w:val="00B933A0"/>
    <w:rsid w:val="00B935E3"/>
    <w:rsid w:val="00B939BC"/>
    <w:rsid w:val="00B94B6C"/>
    <w:rsid w:val="00B95C8F"/>
    <w:rsid w:val="00B95F3A"/>
    <w:rsid w:val="00B96037"/>
    <w:rsid w:val="00B9650A"/>
    <w:rsid w:val="00B974F6"/>
    <w:rsid w:val="00B97739"/>
    <w:rsid w:val="00B97DE2"/>
    <w:rsid w:val="00BA0BF0"/>
    <w:rsid w:val="00BA1A6B"/>
    <w:rsid w:val="00BA263A"/>
    <w:rsid w:val="00BA2E19"/>
    <w:rsid w:val="00BA5079"/>
    <w:rsid w:val="00BA528B"/>
    <w:rsid w:val="00BA6782"/>
    <w:rsid w:val="00BA75D6"/>
    <w:rsid w:val="00BA7F95"/>
    <w:rsid w:val="00BB0851"/>
    <w:rsid w:val="00BB1B1A"/>
    <w:rsid w:val="00BB2276"/>
    <w:rsid w:val="00BB4410"/>
    <w:rsid w:val="00BB5201"/>
    <w:rsid w:val="00BB7950"/>
    <w:rsid w:val="00BC05CF"/>
    <w:rsid w:val="00BC141F"/>
    <w:rsid w:val="00BC16DE"/>
    <w:rsid w:val="00BC1AEF"/>
    <w:rsid w:val="00BC6A3A"/>
    <w:rsid w:val="00BC7026"/>
    <w:rsid w:val="00BD28BC"/>
    <w:rsid w:val="00BD4E58"/>
    <w:rsid w:val="00BD5C48"/>
    <w:rsid w:val="00BD72EA"/>
    <w:rsid w:val="00BD77ED"/>
    <w:rsid w:val="00BE0562"/>
    <w:rsid w:val="00BE147C"/>
    <w:rsid w:val="00BE21A6"/>
    <w:rsid w:val="00BE56B4"/>
    <w:rsid w:val="00BE72FC"/>
    <w:rsid w:val="00BE74A1"/>
    <w:rsid w:val="00BE7756"/>
    <w:rsid w:val="00BE7B88"/>
    <w:rsid w:val="00BF2A9A"/>
    <w:rsid w:val="00BF5326"/>
    <w:rsid w:val="00BF54B1"/>
    <w:rsid w:val="00BF5B8F"/>
    <w:rsid w:val="00BF7BD7"/>
    <w:rsid w:val="00C01352"/>
    <w:rsid w:val="00C03471"/>
    <w:rsid w:val="00C05418"/>
    <w:rsid w:val="00C05D2F"/>
    <w:rsid w:val="00C07D3F"/>
    <w:rsid w:val="00C10F05"/>
    <w:rsid w:val="00C13B2D"/>
    <w:rsid w:val="00C14190"/>
    <w:rsid w:val="00C14221"/>
    <w:rsid w:val="00C16F73"/>
    <w:rsid w:val="00C17150"/>
    <w:rsid w:val="00C17F44"/>
    <w:rsid w:val="00C20003"/>
    <w:rsid w:val="00C202D4"/>
    <w:rsid w:val="00C25301"/>
    <w:rsid w:val="00C260C1"/>
    <w:rsid w:val="00C307FE"/>
    <w:rsid w:val="00C320ED"/>
    <w:rsid w:val="00C34306"/>
    <w:rsid w:val="00C359BA"/>
    <w:rsid w:val="00C4025B"/>
    <w:rsid w:val="00C4026E"/>
    <w:rsid w:val="00C40BB1"/>
    <w:rsid w:val="00C41EE1"/>
    <w:rsid w:val="00C44A3B"/>
    <w:rsid w:val="00C4584A"/>
    <w:rsid w:val="00C46850"/>
    <w:rsid w:val="00C51858"/>
    <w:rsid w:val="00C57B0F"/>
    <w:rsid w:val="00C57D45"/>
    <w:rsid w:val="00C6081B"/>
    <w:rsid w:val="00C632A2"/>
    <w:rsid w:val="00C656DC"/>
    <w:rsid w:val="00C66E10"/>
    <w:rsid w:val="00C67A59"/>
    <w:rsid w:val="00C7042D"/>
    <w:rsid w:val="00C70F8D"/>
    <w:rsid w:val="00C7180B"/>
    <w:rsid w:val="00C7201E"/>
    <w:rsid w:val="00C72A27"/>
    <w:rsid w:val="00C73A5F"/>
    <w:rsid w:val="00C77B56"/>
    <w:rsid w:val="00C77ECD"/>
    <w:rsid w:val="00C80BC5"/>
    <w:rsid w:val="00C82237"/>
    <w:rsid w:val="00C84A83"/>
    <w:rsid w:val="00C875A3"/>
    <w:rsid w:val="00C92E14"/>
    <w:rsid w:val="00C92E5D"/>
    <w:rsid w:val="00C939B4"/>
    <w:rsid w:val="00C965EB"/>
    <w:rsid w:val="00C9774A"/>
    <w:rsid w:val="00CA1519"/>
    <w:rsid w:val="00CA2285"/>
    <w:rsid w:val="00CA22A5"/>
    <w:rsid w:val="00CA477F"/>
    <w:rsid w:val="00CA6E91"/>
    <w:rsid w:val="00CA7361"/>
    <w:rsid w:val="00CB1F29"/>
    <w:rsid w:val="00CB2717"/>
    <w:rsid w:val="00CB6698"/>
    <w:rsid w:val="00CB6B71"/>
    <w:rsid w:val="00CB6DCE"/>
    <w:rsid w:val="00CB7010"/>
    <w:rsid w:val="00CC08C5"/>
    <w:rsid w:val="00CC09A6"/>
    <w:rsid w:val="00CC18EF"/>
    <w:rsid w:val="00CC2612"/>
    <w:rsid w:val="00CC3F52"/>
    <w:rsid w:val="00CC5556"/>
    <w:rsid w:val="00CC71CF"/>
    <w:rsid w:val="00CD02B4"/>
    <w:rsid w:val="00CD0677"/>
    <w:rsid w:val="00CD1B10"/>
    <w:rsid w:val="00CD2F43"/>
    <w:rsid w:val="00CD3401"/>
    <w:rsid w:val="00CD51FA"/>
    <w:rsid w:val="00CD6D93"/>
    <w:rsid w:val="00CD74FC"/>
    <w:rsid w:val="00CE34B0"/>
    <w:rsid w:val="00CE3F3F"/>
    <w:rsid w:val="00CE3F9B"/>
    <w:rsid w:val="00CF3850"/>
    <w:rsid w:val="00CF6B94"/>
    <w:rsid w:val="00CF7A99"/>
    <w:rsid w:val="00D015AC"/>
    <w:rsid w:val="00D028B4"/>
    <w:rsid w:val="00D02FB8"/>
    <w:rsid w:val="00D02FCE"/>
    <w:rsid w:val="00D127F1"/>
    <w:rsid w:val="00D12E2F"/>
    <w:rsid w:val="00D16743"/>
    <w:rsid w:val="00D17A1A"/>
    <w:rsid w:val="00D21368"/>
    <w:rsid w:val="00D2273D"/>
    <w:rsid w:val="00D24AAF"/>
    <w:rsid w:val="00D24E99"/>
    <w:rsid w:val="00D30692"/>
    <w:rsid w:val="00D307D4"/>
    <w:rsid w:val="00D30E98"/>
    <w:rsid w:val="00D310DE"/>
    <w:rsid w:val="00D3383C"/>
    <w:rsid w:val="00D37B13"/>
    <w:rsid w:val="00D37C63"/>
    <w:rsid w:val="00D40B95"/>
    <w:rsid w:val="00D4291C"/>
    <w:rsid w:val="00D42A46"/>
    <w:rsid w:val="00D43653"/>
    <w:rsid w:val="00D46A34"/>
    <w:rsid w:val="00D46CEE"/>
    <w:rsid w:val="00D474F2"/>
    <w:rsid w:val="00D50BEC"/>
    <w:rsid w:val="00D52F91"/>
    <w:rsid w:val="00D53499"/>
    <w:rsid w:val="00D5433D"/>
    <w:rsid w:val="00D5770C"/>
    <w:rsid w:val="00D57B1C"/>
    <w:rsid w:val="00D61098"/>
    <w:rsid w:val="00D61E11"/>
    <w:rsid w:val="00D72856"/>
    <w:rsid w:val="00D7291B"/>
    <w:rsid w:val="00D736D7"/>
    <w:rsid w:val="00D751C9"/>
    <w:rsid w:val="00D775A9"/>
    <w:rsid w:val="00D80A00"/>
    <w:rsid w:val="00D82D51"/>
    <w:rsid w:val="00D84557"/>
    <w:rsid w:val="00D86768"/>
    <w:rsid w:val="00D86F40"/>
    <w:rsid w:val="00D87729"/>
    <w:rsid w:val="00D878E0"/>
    <w:rsid w:val="00D9268E"/>
    <w:rsid w:val="00D94C3A"/>
    <w:rsid w:val="00D95149"/>
    <w:rsid w:val="00D95BAA"/>
    <w:rsid w:val="00D97E0B"/>
    <w:rsid w:val="00DA5EAC"/>
    <w:rsid w:val="00DA7852"/>
    <w:rsid w:val="00DB074C"/>
    <w:rsid w:val="00DB32D0"/>
    <w:rsid w:val="00DB66FF"/>
    <w:rsid w:val="00DB6F8A"/>
    <w:rsid w:val="00DC2650"/>
    <w:rsid w:val="00DC3A05"/>
    <w:rsid w:val="00DC4FA3"/>
    <w:rsid w:val="00DD1A4B"/>
    <w:rsid w:val="00DD1D4E"/>
    <w:rsid w:val="00DD31D9"/>
    <w:rsid w:val="00DD52A9"/>
    <w:rsid w:val="00DD5693"/>
    <w:rsid w:val="00DD760E"/>
    <w:rsid w:val="00DE0A40"/>
    <w:rsid w:val="00DE2CA7"/>
    <w:rsid w:val="00DE4F54"/>
    <w:rsid w:val="00DE6B67"/>
    <w:rsid w:val="00DE753E"/>
    <w:rsid w:val="00DE7BB5"/>
    <w:rsid w:val="00DF08DF"/>
    <w:rsid w:val="00DF0E50"/>
    <w:rsid w:val="00DF2152"/>
    <w:rsid w:val="00DF3B0C"/>
    <w:rsid w:val="00DF5C7D"/>
    <w:rsid w:val="00DF6061"/>
    <w:rsid w:val="00DF6D4A"/>
    <w:rsid w:val="00E07B45"/>
    <w:rsid w:val="00E103B9"/>
    <w:rsid w:val="00E1315E"/>
    <w:rsid w:val="00E15C9E"/>
    <w:rsid w:val="00E17E9D"/>
    <w:rsid w:val="00E220A8"/>
    <w:rsid w:val="00E24E46"/>
    <w:rsid w:val="00E2586E"/>
    <w:rsid w:val="00E31FF7"/>
    <w:rsid w:val="00E42A3B"/>
    <w:rsid w:val="00E42E8B"/>
    <w:rsid w:val="00E43F36"/>
    <w:rsid w:val="00E453D6"/>
    <w:rsid w:val="00E45881"/>
    <w:rsid w:val="00E4660D"/>
    <w:rsid w:val="00E47516"/>
    <w:rsid w:val="00E50DBA"/>
    <w:rsid w:val="00E52160"/>
    <w:rsid w:val="00E54EE5"/>
    <w:rsid w:val="00E600AD"/>
    <w:rsid w:val="00E613BF"/>
    <w:rsid w:val="00E65411"/>
    <w:rsid w:val="00E71862"/>
    <w:rsid w:val="00E7309C"/>
    <w:rsid w:val="00E75C44"/>
    <w:rsid w:val="00E7772C"/>
    <w:rsid w:val="00E77CAB"/>
    <w:rsid w:val="00E80C41"/>
    <w:rsid w:val="00E80D35"/>
    <w:rsid w:val="00E8295B"/>
    <w:rsid w:val="00E83067"/>
    <w:rsid w:val="00E833A7"/>
    <w:rsid w:val="00E910CB"/>
    <w:rsid w:val="00E929D3"/>
    <w:rsid w:val="00E92FB1"/>
    <w:rsid w:val="00E94027"/>
    <w:rsid w:val="00E94708"/>
    <w:rsid w:val="00E95DC9"/>
    <w:rsid w:val="00E9652C"/>
    <w:rsid w:val="00EA0DE7"/>
    <w:rsid w:val="00EA23A6"/>
    <w:rsid w:val="00EA2B7F"/>
    <w:rsid w:val="00EA2CC3"/>
    <w:rsid w:val="00EA33A7"/>
    <w:rsid w:val="00EA6F12"/>
    <w:rsid w:val="00EA71C2"/>
    <w:rsid w:val="00EB0527"/>
    <w:rsid w:val="00EB0A18"/>
    <w:rsid w:val="00EB0DAB"/>
    <w:rsid w:val="00EB2D7D"/>
    <w:rsid w:val="00EB3AC2"/>
    <w:rsid w:val="00EC1476"/>
    <w:rsid w:val="00EC1603"/>
    <w:rsid w:val="00EC25FA"/>
    <w:rsid w:val="00EC3F84"/>
    <w:rsid w:val="00EC40CE"/>
    <w:rsid w:val="00EC4BE7"/>
    <w:rsid w:val="00EC5521"/>
    <w:rsid w:val="00EC6FDA"/>
    <w:rsid w:val="00EC72D1"/>
    <w:rsid w:val="00ED01EF"/>
    <w:rsid w:val="00ED0AB6"/>
    <w:rsid w:val="00ED4970"/>
    <w:rsid w:val="00ED7CCA"/>
    <w:rsid w:val="00EE0AA2"/>
    <w:rsid w:val="00EE1A2C"/>
    <w:rsid w:val="00EE1FE9"/>
    <w:rsid w:val="00EE3EC3"/>
    <w:rsid w:val="00EE418D"/>
    <w:rsid w:val="00EE53CA"/>
    <w:rsid w:val="00EE5A1C"/>
    <w:rsid w:val="00EE5B1F"/>
    <w:rsid w:val="00EE5C61"/>
    <w:rsid w:val="00EE606C"/>
    <w:rsid w:val="00EE6F22"/>
    <w:rsid w:val="00EF0821"/>
    <w:rsid w:val="00EF0BC9"/>
    <w:rsid w:val="00EF428C"/>
    <w:rsid w:val="00EF4D05"/>
    <w:rsid w:val="00EF6258"/>
    <w:rsid w:val="00F044C2"/>
    <w:rsid w:val="00F1029B"/>
    <w:rsid w:val="00F11585"/>
    <w:rsid w:val="00F11A02"/>
    <w:rsid w:val="00F15013"/>
    <w:rsid w:val="00F15278"/>
    <w:rsid w:val="00F2056E"/>
    <w:rsid w:val="00F2114E"/>
    <w:rsid w:val="00F22CC6"/>
    <w:rsid w:val="00F2397E"/>
    <w:rsid w:val="00F239BB"/>
    <w:rsid w:val="00F2596E"/>
    <w:rsid w:val="00F26FCD"/>
    <w:rsid w:val="00F302B9"/>
    <w:rsid w:val="00F30A4E"/>
    <w:rsid w:val="00F322C1"/>
    <w:rsid w:val="00F339E4"/>
    <w:rsid w:val="00F341E2"/>
    <w:rsid w:val="00F34FF4"/>
    <w:rsid w:val="00F35A57"/>
    <w:rsid w:val="00F35B2F"/>
    <w:rsid w:val="00F3614F"/>
    <w:rsid w:val="00F36A44"/>
    <w:rsid w:val="00F373CA"/>
    <w:rsid w:val="00F37ADC"/>
    <w:rsid w:val="00F37D12"/>
    <w:rsid w:val="00F40C92"/>
    <w:rsid w:val="00F42C75"/>
    <w:rsid w:val="00F45FE1"/>
    <w:rsid w:val="00F51F29"/>
    <w:rsid w:val="00F57F63"/>
    <w:rsid w:val="00F6035E"/>
    <w:rsid w:val="00F6200A"/>
    <w:rsid w:val="00F63C7C"/>
    <w:rsid w:val="00F63F7C"/>
    <w:rsid w:val="00F66BE2"/>
    <w:rsid w:val="00F7154C"/>
    <w:rsid w:val="00F72BD4"/>
    <w:rsid w:val="00F737EF"/>
    <w:rsid w:val="00F73E28"/>
    <w:rsid w:val="00F756AF"/>
    <w:rsid w:val="00F77817"/>
    <w:rsid w:val="00F81DDB"/>
    <w:rsid w:val="00F832D2"/>
    <w:rsid w:val="00F83600"/>
    <w:rsid w:val="00F85327"/>
    <w:rsid w:val="00F85E5F"/>
    <w:rsid w:val="00F8613F"/>
    <w:rsid w:val="00F91FBB"/>
    <w:rsid w:val="00F9401A"/>
    <w:rsid w:val="00FA0B5A"/>
    <w:rsid w:val="00FA249E"/>
    <w:rsid w:val="00FA310E"/>
    <w:rsid w:val="00FA4662"/>
    <w:rsid w:val="00FA574C"/>
    <w:rsid w:val="00FA672E"/>
    <w:rsid w:val="00FB0995"/>
    <w:rsid w:val="00FB0E5B"/>
    <w:rsid w:val="00FB20CC"/>
    <w:rsid w:val="00FB2E7F"/>
    <w:rsid w:val="00FB5C92"/>
    <w:rsid w:val="00FB6D6F"/>
    <w:rsid w:val="00FB7E42"/>
    <w:rsid w:val="00FC048D"/>
    <w:rsid w:val="00FC0EA4"/>
    <w:rsid w:val="00FC2441"/>
    <w:rsid w:val="00FC2A31"/>
    <w:rsid w:val="00FC2D4E"/>
    <w:rsid w:val="00FC2F3B"/>
    <w:rsid w:val="00FC3A7B"/>
    <w:rsid w:val="00FC4C92"/>
    <w:rsid w:val="00FC5148"/>
    <w:rsid w:val="00FC55E9"/>
    <w:rsid w:val="00FD087C"/>
    <w:rsid w:val="00FD2438"/>
    <w:rsid w:val="00FD3782"/>
    <w:rsid w:val="00FD3C12"/>
    <w:rsid w:val="00FD3DDE"/>
    <w:rsid w:val="00FD3F1E"/>
    <w:rsid w:val="00FE1A99"/>
    <w:rsid w:val="00FE30A5"/>
    <w:rsid w:val="00FE58B8"/>
    <w:rsid w:val="00FE5B71"/>
    <w:rsid w:val="00FE6454"/>
    <w:rsid w:val="00FE6904"/>
    <w:rsid w:val="00FF20EE"/>
    <w:rsid w:val="00FF2E78"/>
    <w:rsid w:val="00FF4DF9"/>
    <w:rsid w:val="00FF530F"/>
    <w:rsid w:val="00FF73FB"/>
    <w:rsid w:val="00FF7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4E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uiPriority="1" w:qFormat="1"/>
    <w:lsdException w:name="heading 4" w:uiPriority="1" w:qFormat="1"/>
    <w:lsdException w:name="heading 5" w:uiPriority="1" w:qFormat="1"/>
    <w:lsdException w:name="heading 6" w:uiPriority="1" w:qFormat="1"/>
    <w:lsdException w:name="heading 7" w:uiPriority="12" w:qFormat="1"/>
    <w:lsdException w:name="heading 8" w:uiPriority="13"/>
    <w:lsdException w:name="heading 9" w:uiPriority="14"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35"/>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 w:unhideWhenUsed="0"/>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rsid w:val="009B581B"/>
    <w:pPr>
      <w:tabs>
        <w:tab w:val="left" w:pos="850"/>
        <w:tab w:val="left" w:pos="1191"/>
        <w:tab w:val="left" w:pos="1531"/>
      </w:tabs>
      <w:jc w:val="both"/>
    </w:pPr>
    <w:rPr>
      <w:rFonts w:ascii="Times New Roman" w:hAnsi="Times New Roman"/>
      <w:sz w:val="22"/>
      <w:lang w:val="en-GB"/>
    </w:rPr>
  </w:style>
  <w:style w:type="paragraph" w:styleId="Heading1">
    <w:name w:val="heading 1"/>
    <w:basedOn w:val="Normal"/>
    <w:next w:val="Para0"/>
    <w:link w:val="Heading1Char"/>
    <w:uiPriority w:val="1"/>
    <w:qFormat/>
    <w:rsid w:val="00F2114E"/>
    <w:pPr>
      <w:keepNext/>
      <w:keepLines/>
      <w:numPr>
        <w:numId w:val="24"/>
      </w:numPr>
      <w:spacing w:before="480" w:after="240"/>
      <w:jc w:val="left"/>
      <w:outlineLvl w:val="0"/>
    </w:pPr>
    <w:rPr>
      <w:b/>
      <w:bCs/>
      <w:color w:val="4E81BD"/>
      <w:kern w:val="28"/>
      <w:sz w:val="24"/>
    </w:rPr>
  </w:style>
  <w:style w:type="paragraph" w:styleId="Heading2">
    <w:name w:val="heading 2"/>
    <w:basedOn w:val="Normal"/>
    <w:next w:val="Para0"/>
    <w:link w:val="Heading2Char"/>
    <w:uiPriority w:val="1"/>
    <w:qFormat/>
    <w:rsid w:val="00F2114E"/>
    <w:pPr>
      <w:keepNext/>
      <w:numPr>
        <w:ilvl w:val="1"/>
        <w:numId w:val="24"/>
      </w:numPr>
      <w:spacing w:before="240" w:after="240"/>
      <w:ind w:right="680"/>
      <w:jc w:val="left"/>
      <w:outlineLvl w:val="1"/>
    </w:pPr>
    <w:rPr>
      <w:b/>
      <w:bCs/>
      <w:sz w:val="24"/>
    </w:rPr>
  </w:style>
  <w:style w:type="paragraph" w:styleId="Heading3">
    <w:name w:val="heading 3"/>
    <w:basedOn w:val="Normal"/>
    <w:next w:val="Para0"/>
    <w:link w:val="Heading3Char"/>
    <w:uiPriority w:val="1"/>
    <w:qFormat/>
    <w:rsid w:val="00F2114E"/>
    <w:pPr>
      <w:keepNext/>
      <w:keepLines/>
      <w:numPr>
        <w:ilvl w:val="2"/>
        <w:numId w:val="24"/>
      </w:numPr>
      <w:spacing w:before="240" w:after="120"/>
      <w:ind w:right="680"/>
      <w:jc w:val="left"/>
      <w:outlineLvl w:val="2"/>
    </w:pPr>
    <w:rPr>
      <w:b/>
      <w:bCs/>
      <w:i/>
      <w:iCs/>
      <w:color w:val="262626"/>
      <w:sz w:val="24"/>
    </w:rPr>
  </w:style>
  <w:style w:type="paragraph" w:styleId="Heading4">
    <w:name w:val="heading 4"/>
    <w:basedOn w:val="Normal"/>
    <w:next w:val="Para0"/>
    <w:link w:val="Heading4Char"/>
    <w:uiPriority w:val="1"/>
    <w:qFormat/>
    <w:rsid w:val="00F2114E"/>
    <w:pPr>
      <w:keepNext/>
      <w:keepLines/>
      <w:numPr>
        <w:ilvl w:val="3"/>
        <w:numId w:val="24"/>
      </w:numPr>
      <w:spacing w:before="240" w:after="120"/>
      <w:ind w:right="680"/>
      <w:jc w:val="left"/>
      <w:outlineLvl w:val="3"/>
    </w:pPr>
    <w:rPr>
      <w:i/>
      <w:iCs/>
      <w:color w:val="000000" w:themeColor="text1"/>
      <w:sz w:val="24"/>
    </w:rPr>
  </w:style>
  <w:style w:type="paragraph" w:styleId="Heading5">
    <w:name w:val="heading 5"/>
    <w:basedOn w:val="Normal"/>
    <w:next w:val="Para0"/>
    <w:link w:val="Heading5Char"/>
    <w:uiPriority w:val="1"/>
    <w:qFormat/>
    <w:rsid w:val="00F2114E"/>
    <w:pPr>
      <w:keepNext/>
      <w:keepLines/>
      <w:numPr>
        <w:ilvl w:val="4"/>
        <w:numId w:val="24"/>
      </w:numPr>
      <w:spacing w:before="240" w:after="120"/>
      <w:ind w:right="680"/>
      <w:jc w:val="left"/>
      <w:outlineLvl w:val="4"/>
    </w:pPr>
    <w:rPr>
      <w:color w:val="000000" w:themeColor="text1"/>
      <w:sz w:val="24"/>
    </w:rPr>
  </w:style>
  <w:style w:type="paragraph" w:styleId="Heading6">
    <w:name w:val="heading 6"/>
    <w:aliases w:val="Part"/>
    <w:basedOn w:val="Normal"/>
    <w:next w:val="Heading1"/>
    <w:link w:val="Heading6Char"/>
    <w:uiPriority w:val="1"/>
    <w:qFormat/>
    <w:rsid w:val="00F2114E"/>
    <w:pPr>
      <w:keepNext/>
      <w:numPr>
        <w:ilvl w:val="5"/>
        <w:numId w:val="24"/>
      </w:numPr>
      <w:spacing w:before="1200" w:after="720"/>
      <w:jc w:val="center"/>
      <w:outlineLvl w:val="5"/>
    </w:pPr>
    <w:rPr>
      <w:b/>
      <w:color w:val="4E81BD"/>
      <w:sz w:val="28"/>
    </w:rPr>
  </w:style>
  <w:style w:type="paragraph" w:styleId="Heading7">
    <w:name w:val="heading 7"/>
    <w:aliases w:val="Doc AnnX"/>
    <w:basedOn w:val="Normal"/>
    <w:next w:val="Para0"/>
    <w:link w:val="Heading7Char"/>
    <w:uiPriority w:val="12"/>
    <w:qFormat/>
    <w:rsid w:val="00F2114E"/>
    <w:pPr>
      <w:keepNext/>
      <w:numPr>
        <w:ilvl w:val="6"/>
        <w:numId w:val="24"/>
      </w:numPr>
      <w:spacing w:before="1200" w:after="720"/>
      <w:jc w:val="center"/>
      <w:outlineLvl w:val="6"/>
    </w:pPr>
    <w:rPr>
      <w:b/>
      <w:color w:val="4E81BD"/>
      <w:sz w:val="28"/>
    </w:rPr>
  </w:style>
  <w:style w:type="paragraph" w:styleId="Heading8">
    <w:name w:val="heading 8"/>
    <w:aliases w:val="Part AnnX"/>
    <w:basedOn w:val="Heading7"/>
    <w:next w:val="Para0"/>
    <w:link w:val="Heading8Char"/>
    <w:uiPriority w:val="13"/>
    <w:rsid w:val="00761032"/>
    <w:pPr>
      <w:numPr>
        <w:ilvl w:val="7"/>
      </w:numPr>
      <w:outlineLvl w:val="7"/>
    </w:pPr>
  </w:style>
  <w:style w:type="paragraph" w:styleId="Heading9">
    <w:name w:val="heading 9"/>
    <w:aliases w:val="Chap AnnX"/>
    <w:basedOn w:val="Heading8"/>
    <w:next w:val="Para0"/>
    <w:link w:val="Heading9Char"/>
    <w:uiPriority w:val="14"/>
    <w:qFormat/>
    <w:rsid w:val="00F2114E"/>
    <w:pPr>
      <w:numPr>
        <w:ilvl w:val="8"/>
        <w:numId w:val="13"/>
      </w:numPr>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2114E"/>
    <w:rPr>
      <w:rFonts w:ascii="Times New Roman" w:hAnsi="Times New Roman"/>
      <w:b/>
      <w:bCs/>
      <w:color w:val="4E81BD"/>
      <w:kern w:val="28"/>
      <w:sz w:val="24"/>
      <w:lang w:val="en-GB"/>
    </w:rPr>
  </w:style>
  <w:style w:type="character" w:customStyle="1" w:styleId="Heading2Char">
    <w:name w:val="Heading 2 Char"/>
    <w:basedOn w:val="DefaultParagraphFont"/>
    <w:link w:val="Heading2"/>
    <w:uiPriority w:val="1"/>
    <w:rsid w:val="00F2114E"/>
    <w:rPr>
      <w:rFonts w:ascii="Times New Roman" w:hAnsi="Times New Roman"/>
      <w:b/>
      <w:bCs/>
      <w:sz w:val="24"/>
      <w:lang w:val="en-GB"/>
    </w:rPr>
  </w:style>
  <w:style w:type="character" w:customStyle="1" w:styleId="Heading3Char">
    <w:name w:val="Heading 3 Char"/>
    <w:basedOn w:val="DefaultParagraphFont"/>
    <w:link w:val="Heading3"/>
    <w:uiPriority w:val="1"/>
    <w:rsid w:val="00F2114E"/>
    <w:rPr>
      <w:rFonts w:ascii="Times New Roman" w:hAnsi="Times New Roman"/>
      <w:b/>
      <w:bCs/>
      <w:i/>
      <w:iCs/>
      <w:color w:val="262626"/>
      <w:sz w:val="24"/>
      <w:lang w:val="en-GB"/>
    </w:rPr>
  </w:style>
  <w:style w:type="character" w:customStyle="1" w:styleId="Heading4Char">
    <w:name w:val="Heading 4 Char"/>
    <w:basedOn w:val="DefaultParagraphFont"/>
    <w:link w:val="Heading4"/>
    <w:uiPriority w:val="1"/>
    <w:rsid w:val="00F2114E"/>
    <w:rPr>
      <w:rFonts w:ascii="Times New Roman" w:hAnsi="Times New Roman"/>
      <w:i/>
      <w:iCs/>
      <w:color w:val="000000" w:themeColor="text1"/>
      <w:sz w:val="24"/>
      <w:lang w:val="en-GB"/>
    </w:rPr>
  </w:style>
  <w:style w:type="character" w:customStyle="1" w:styleId="Heading5Char">
    <w:name w:val="Heading 5 Char"/>
    <w:basedOn w:val="DefaultParagraphFont"/>
    <w:link w:val="Heading5"/>
    <w:uiPriority w:val="1"/>
    <w:rsid w:val="00F2114E"/>
    <w:rPr>
      <w:rFonts w:ascii="Times New Roman" w:hAnsi="Times New Roman"/>
      <w:color w:val="000000" w:themeColor="text1"/>
      <w:sz w:val="24"/>
      <w:lang w:val="en-GB"/>
    </w:rPr>
  </w:style>
  <w:style w:type="character" w:customStyle="1" w:styleId="Heading6Char">
    <w:name w:val="Heading 6 Char"/>
    <w:aliases w:val="Part Char"/>
    <w:basedOn w:val="DefaultParagraphFont"/>
    <w:link w:val="Heading6"/>
    <w:uiPriority w:val="1"/>
    <w:rsid w:val="00F2114E"/>
    <w:rPr>
      <w:rFonts w:ascii="Times New Roman" w:hAnsi="Times New Roman"/>
      <w:b/>
      <w:color w:val="4E81BD"/>
      <w:sz w:val="28"/>
      <w:lang w:val="en-GB"/>
    </w:rPr>
  </w:style>
  <w:style w:type="character" w:customStyle="1" w:styleId="Heading7Char">
    <w:name w:val="Heading 7 Char"/>
    <w:aliases w:val="Doc AnnX Char"/>
    <w:basedOn w:val="DefaultParagraphFont"/>
    <w:link w:val="Heading7"/>
    <w:uiPriority w:val="12"/>
    <w:rsid w:val="00F2114E"/>
    <w:rPr>
      <w:rFonts w:ascii="Times New Roman" w:hAnsi="Times New Roman"/>
      <w:b/>
      <w:color w:val="4E81BD"/>
      <w:sz w:val="28"/>
      <w:lang w:val="en-GB"/>
    </w:rPr>
  </w:style>
  <w:style w:type="character" w:customStyle="1" w:styleId="Heading8Char">
    <w:name w:val="Heading 8 Char"/>
    <w:aliases w:val="Part AnnX Char"/>
    <w:basedOn w:val="DefaultParagraphFont"/>
    <w:link w:val="Heading8"/>
    <w:uiPriority w:val="13"/>
    <w:rsid w:val="00761032"/>
    <w:rPr>
      <w:rFonts w:ascii="Times New Roman" w:hAnsi="Times New Roman"/>
      <w:b/>
      <w:color w:val="4E81BD"/>
      <w:sz w:val="28"/>
      <w:lang w:val="en-GB"/>
    </w:rPr>
  </w:style>
  <w:style w:type="character" w:customStyle="1" w:styleId="Heading9Char">
    <w:name w:val="Heading 9 Char"/>
    <w:aliases w:val="Chap AnnX Char"/>
    <w:basedOn w:val="DefaultParagraphFont"/>
    <w:link w:val="Heading9"/>
    <w:uiPriority w:val="14"/>
    <w:rsid w:val="00F2114E"/>
    <w:rPr>
      <w:rFonts w:ascii="Times New Roman" w:hAnsi="Times New Roman"/>
      <w:b/>
      <w:color w:val="4E81BD"/>
      <w:sz w:val="28"/>
      <w:lang w:val="en-GB"/>
    </w:rPr>
  </w:style>
  <w:style w:type="paragraph" w:styleId="TOC1">
    <w:name w:val="toc 1"/>
    <w:basedOn w:val="Normal"/>
    <w:next w:val="Normal"/>
    <w:uiPriority w:val="39"/>
    <w:unhideWhenUsed/>
    <w:rsid w:val="00642407"/>
    <w:pPr>
      <w:tabs>
        <w:tab w:val="clear" w:pos="850"/>
        <w:tab w:val="clear" w:pos="1191"/>
        <w:tab w:val="clear" w:pos="1531"/>
        <w:tab w:val="right" w:leader="dot" w:pos="9072"/>
      </w:tabs>
      <w:spacing w:before="120" w:after="120"/>
      <w:ind w:right="510"/>
      <w:jc w:val="left"/>
    </w:pPr>
    <w:rPr>
      <w:b/>
      <w:noProof/>
    </w:rPr>
  </w:style>
  <w:style w:type="paragraph" w:styleId="TOC2">
    <w:name w:val="toc 2"/>
    <w:basedOn w:val="Normal"/>
    <w:next w:val="Normal"/>
    <w:uiPriority w:val="39"/>
    <w:unhideWhenUsed/>
    <w:rsid w:val="00807595"/>
    <w:pPr>
      <w:tabs>
        <w:tab w:val="clear" w:pos="850"/>
        <w:tab w:val="clear" w:pos="1191"/>
        <w:tab w:val="clear" w:pos="1531"/>
        <w:tab w:val="right" w:leader="dot" w:pos="9072"/>
      </w:tabs>
      <w:ind w:left="198" w:right="510"/>
      <w:jc w:val="left"/>
    </w:pPr>
    <w:rPr>
      <w:noProof/>
    </w:rPr>
  </w:style>
  <w:style w:type="paragraph" w:styleId="TOC3">
    <w:name w:val="toc 3"/>
    <w:basedOn w:val="Normal"/>
    <w:next w:val="Normal"/>
    <w:uiPriority w:val="39"/>
    <w:unhideWhenUsed/>
    <w:rsid w:val="00807595"/>
    <w:pPr>
      <w:tabs>
        <w:tab w:val="clear" w:pos="850"/>
        <w:tab w:val="clear" w:pos="1191"/>
        <w:tab w:val="clear" w:pos="1531"/>
        <w:tab w:val="right" w:leader="dot" w:pos="9072"/>
      </w:tabs>
      <w:ind w:left="397" w:right="510"/>
      <w:jc w:val="left"/>
    </w:pPr>
    <w:rPr>
      <w:noProof/>
    </w:rPr>
  </w:style>
  <w:style w:type="paragraph" w:styleId="TOC4">
    <w:name w:val="toc 4"/>
    <w:basedOn w:val="Normal"/>
    <w:next w:val="Normal"/>
    <w:semiHidden/>
    <w:rsid w:val="007C7BE2"/>
    <w:pPr>
      <w:tabs>
        <w:tab w:val="clear" w:pos="850"/>
        <w:tab w:val="clear" w:pos="1191"/>
        <w:tab w:val="clear" w:pos="1531"/>
        <w:tab w:val="right" w:leader="dot" w:pos="9072"/>
      </w:tabs>
      <w:ind w:left="595" w:right="510"/>
      <w:jc w:val="left"/>
    </w:pPr>
    <w:rPr>
      <w:noProof/>
    </w:rPr>
  </w:style>
  <w:style w:type="paragraph" w:styleId="TOC5">
    <w:name w:val="toc 5"/>
    <w:aliases w:val="Annotated Item"/>
    <w:basedOn w:val="Para0"/>
    <w:next w:val="Para0"/>
    <w:rsid w:val="00184759"/>
    <w:pPr>
      <w:keepNext/>
      <w:spacing w:before="0"/>
      <w:ind w:left="0" w:right="0"/>
    </w:pPr>
    <w:rPr>
      <w:b/>
      <w:color w:val="4E81BD"/>
    </w:rPr>
  </w:style>
  <w:style w:type="paragraph" w:styleId="TOC6">
    <w:name w:val="toc 6"/>
    <w:basedOn w:val="Normal"/>
    <w:next w:val="Normal"/>
    <w:semiHidden/>
    <w:rsid w:val="00DD52A9"/>
    <w:pPr>
      <w:tabs>
        <w:tab w:val="clear" w:pos="850"/>
        <w:tab w:val="clear" w:pos="1191"/>
        <w:tab w:val="clear" w:pos="1531"/>
      </w:tabs>
      <w:ind w:left="1100"/>
    </w:pPr>
  </w:style>
  <w:style w:type="paragraph" w:styleId="TOC7">
    <w:name w:val="toc 7"/>
    <w:basedOn w:val="Normal"/>
    <w:next w:val="Normal"/>
    <w:semiHidden/>
    <w:rsid w:val="00DD52A9"/>
    <w:pPr>
      <w:tabs>
        <w:tab w:val="clear" w:pos="850"/>
        <w:tab w:val="clear" w:pos="1191"/>
        <w:tab w:val="clear" w:pos="1531"/>
      </w:tabs>
      <w:ind w:left="1320"/>
    </w:pPr>
  </w:style>
  <w:style w:type="paragraph" w:styleId="TOC8">
    <w:name w:val="toc 8"/>
    <w:basedOn w:val="Normal"/>
    <w:next w:val="Normal"/>
    <w:semiHidden/>
    <w:rsid w:val="00DD52A9"/>
    <w:pPr>
      <w:tabs>
        <w:tab w:val="clear" w:pos="850"/>
        <w:tab w:val="clear" w:pos="1191"/>
        <w:tab w:val="clear" w:pos="1531"/>
      </w:tabs>
      <w:ind w:left="1540"/>
    </w:pPr>
  </w:style>
  <w:style w:type="paragraph" w:styleId="TOC9">
    <w:name w:val="toc 9"/>
    <w:basedOn w:val="Normal"/>
    <w:next w:val="Normal"/>
    <w:semiHidden/>
    <w:rsid w:val="00DD52A9"/>
    <w:pPr>
      <w:tabs>
        <w:tab w:val="clear" w:pos="850"/>
        <w:tab w:val="clear" w:pos="1191"/>
        <w:tab w:val="clear" w:pos="1531"/>
      </w:tabs>
      <w:ind w:left="1760"/>
    </w:pPr>
  </w:style>
  <w:style w:type="paragraph" w:styleId="Caption">
    <w:name w:val="caption"/>
    <w:basedOn w:val="Normal"/>
    <w:next w:val="CaptionSubtitle"/>
    <w:uiPriority w:val="35"/>
    <w:rsid w:val="00630B9E"/>
    <w:pPr>
      <w:keepNext/>
      <w:spacing w:before="240" w:after="240"/>
      <w:ind w:left="680" w:right="680"/>
      <w:jc w:val="center"/>
    </w:pPr>
    <w:rPr>
      <w:b/>
      <w:bCs/>
      <w:sz w:val="20"/>
    </w:rPr>
  </w:style>
  <w:style w:type="paragraph" w:styleId="Title">
    <w:name w:val="Title"/>
    <w:basedOn w:val="Normal"/>
    <w:next w:val="Para0"/>
    <w:link w:val="TitleChar"/>
    <w:qFormat/>
    <w:rsid w:val="00F2114E"/>
    <w:pPr>
      <w:keepNext/>
      <w:keepLines/>
      <w:spacing w:before="1200" w:after="720"/>
      <w:ind w:left="680" w:right="680"/>
      <w:jc w:val="center"/>
      <w:outlineLvl w:val="0"/>
    </w:pPr>
    <w:rPr>
      <w:rFonts w:cs="Arial"/>
      <w:bCs/>
      <w:i/>
      <w:color w:val="4E81BD"/>
      <w:kern w:val="28"/>
      <w:sz w:val="32"/>
      <w:szCs w:val="32"/>
    </w:rPr>
  </w:style>
  <w:style w:type="character" w:customStyle="1" w:styleId="TitleChar">
    <w:name w:val="Title Char"/>
    <w:basedOn w:val="DefaultParagraphFont"/>
    <w:link w:val="Title"/>
    <w:rsid w:val="00F2114E"/>
    <w:rPr>
      <w:rFonts w:ascii="Times New Roman" w:hAnsi="Times New Roman" w:cs="Arial"/>
      <w:bCs/>
      <w:i/>
      <w:color w:val="4E81BD"/>
      <w:kern w:val="28"/>
      <w:sz w:val="32"/>
      <w:szCs w:val="32"/>
      <w:lang w:val="en-GB"/>
    </w:rPr>
  </w:style>
  <w:style w:type="paragraph" w:styleId="Subtitle">
    <w:name w:val="Subtitle"/>
    <w:basedOn w:val="Normal"/>
    <w:next w:val="ImportantInformation"/>
    <w:link w:val="SubtitleChar"/>
    <w:uiPriority w:val="1"/>
    <w:rsid w:val="002C4BC8"/>
    <w:pPr>
      <w:spacing w:after="240"/>
      <w:jc w:val="center"/>
    </w:pPr>
    <w:rPr>
      <w:rFonts w:cs="Arial"/>
      <w:b/>
      <w:sz w:val="24"/>
      <w:szCs w:val="24"/>
    </w:rPr>
  </w:style>
  <w:style w:type="character" w:customStyle="1" w:styleId="SubtitleChar">
    <w:name w:val="Subtitle Char"/>
    <w:basedOn w:val="DefaultParagraphFont"/>
    <w:link w:val="Subtitle"/>
    <w:uiPriority w:val="1"/>
    <w:rsid w:val="002C4BC8"/>
    <w:rPr>
      <w:rFonts w:ascii="Times New Roman" w:hAnsi="Times New Roman" w:cs="Arial"/>
      <w:b/>
      <w:sz w:val="24"/>
      <w:szCs w:val="24"/>
      <w:lang w:val="en-GB"/>
    </w:rPr>
  </w:style>
  <w:style w:type="paragraph" w:styleId="Header">
    <w:name w:val="header"/>
    <w:basedOn w:val="Normal"/>
    <w:link w:val="HeaderChar"/>
    <w:unhideWhenUsed/>
    <w:rsid w:val="007A09AC"/>
    <w:pPr>
      <w:tabs>
        <w:tab w:val="clear" w:pos="850"/>
        <w:tab w:val="clear" w:pos="1191"/>
        <w:tab w:val="clear" w:pos="1531"/>
        <w:tab w:val="center" w:pos="4680"/>
        <w:tab w:val="right" w:pos="9360"/>
      </w:tabs>
    </w:pPr>
  </w:style>
  <w:style w:type="character" w:customStyle="1" w:styleId="HeaderChar">
    <w:name w:val="Header Char"/>
    <w:basedOn w:val="DefaultParagraphFont"/>
    <w:link w:val="Header"/>
    <w:rsid w:val="007A09AC"/>
    <w:rPr>
      <w:rFonts w:ascii="Times New Roman" w:hAnsi="Times New Roman"/>
      <w:lang w:val="en-GB"/>
    </w:rPr>
  </w:style>
  <w:style w:type="paragraph" w:styleId="Footer">
    <w:name w:val="footer"/>
    <w:basedOn w:val="Normal"/>
    <w:link w:val="FooterChar"/>
    <w:uiPriority w:val="99"/>
    <w:unhideWhenUsed/>
    <w:rsid w:val="00653CBE"/>
    <w:pPr>
      <w:tabs>
        <w:tab w:val="clear" w:pos="850"/>
        <w:tab w:val="clear" w:pos="1191"/>
        <w:tab w:val="clear" w:pos="1531"/>
      </w:tabs>
      <w:jc w:val="center"/>
    </w:pPr>
    <w:rPr>
      <w:caps/>
      <w:sz w:val="16"/>
    </w:rPr>
  </w:style>
  <w:style w:type="character" w:customStyle="1" w:styleId="FooterChar">
    <w:name w:val="Footer Char"/>
    <w:basedOn w:val="DefaultParagraphFont"/>
    <w:link w:val="Footer"/>
    <w:uiPriority w:val="99"/>
    <w:rsid w:val="00653CBE"/>
    <w:rPr>
      <w:rFonts w:ascii="Times New Roman" w:hAnsi="Times New Roman"/>
      <w:caps/>
      <w:sz w:val="16"/>
      <w:lang w:val="en-GB"/>
    </w:rPr>
  </w:style>
  <w:style w:type="numbering" w:customStyle="1" w:styleId="NoList1">
    <w:name w:val="No List1"/>
    <w:next w:val="NoList"/>
    <w:uiPriority w:val="99"/>
    <w:semiHidden/>
    <w:unhideWhenUsed/>
    <w:rsid w:val="00156910"/>
  </w:style>
  <w:style w:type="paragraph" w:styleId="BodyText">
    <w:name w:val="Body Text"/>
    <w:basedOn w:val="Normal"/>
    <w:link w:val="BodyTextChar"/>
    <w:semiHidden/>
    <w:rsid w:val="00156910"/>
    <w:pPr>
      <w:tabs>
        <w:tab w:val="clear" w:pos="850"/>
        <w:tab w:val="clear" w:pos="1191"/>
        <w:tab w:val="clear" w:pos="1531"/>
      </w:tabs>
      <w:ind w:firstLine="442"/>
    </w:pPr>
    <w:rPr>
      <w:rFonts w:eastAsia="SimSun"/>
    </w:rPr>
  </w:style>
  <w:style w:type="character" w:customStyle="1" w:styleId="BodyTextChar">
    <w:name w:val="Body Text Char"/>
    <w:basedOn w:val="DefaultParagraphFont"/>
    <w:link w:val="BodyText"/>
    <w:semiHidden/>
    <w:rsid w:val="0074276B"/>
    <w:rPr>
      <w:rFonts w:eastAsia="SimSun"/>
    </w:rPr>
  </w:style>
  <w:style w:type="paragraph" w:customStyle="1" w:styleId="TableCell">
    <w:name w:val="Table Cell"/>
    <w:basedOn w:val="Normal"/>
    <w:uiPriority w:val="10"/>
    <w:qFormat/>
    <w:rsid w:val="00F2114E"/>
    <w:pPr>
      <w:keepNext/>
      <w:keepLines/>
      <w:tabs>
        <w:tab w:val="clear" w:pos="850"/>
        <w:tab w:val="clear" w:pos="1191"/>
        <w:tab w:val="clear" w:pos="1531"/>
        <w:tab w:val="left" w:pos="340"/>
        <w:tab w:val="left" w:pos="680"/>
      </w:tabs>
      <w:spacing w:before="20" w:after="20"/>
      <w:jc w:val="right"/>
    </w:pPr>
    <w:rPr>
      <w:rFonts w:ascii="Arial Narrow" w:eastAsia="SimSun" w:hAnsi="Arial Narrow" w:cs="Arial"/>
      <w:sz w:val="17"/>
      <w:szCs w:val="18"/>
    </w:rPr>
  </w:style>
  <w:style w:type="paragraph" w:styleId="EndnoteText">
    <w:name w:val="endnote text"/>
    <w:basedOn w:val="FootnoteText"/>
    <w:link w:val="EndnoteTextChar"/>
    <w:semiHidden/>
    <w:rsid w:val="00027DF3"/>
  </w:style>
  <w:style w:type="character" w:customStyle="1" w:styleId="EndnoteTextChar">
    <w:name w:val="Endnote Text Char"/>
    <w:basedOn w:val="DefaultParagraphFont"/>
    <w:link w:val="EndnoteText"/>
    <w:semiHidden/>
    <w:rsid w:val="00027DF3"/>
    <w:rPr>
      <w:rFonts w:ascii="Times New Roman" w:eastAsia="SimSun" w:hAnsi="Times New Roman"/>
      <w:lang w:val="en-GB"/>
    </w:rPr>
  </w:style>
  <w:style w:type="paragraph" w:customStyle="1" w:styleId="CaptionSubtitle">
    <w:name w:val="Caption Subtitle"/>
    <w:basedOn w:val="Normal"/>
    <w:next w:val="Para0"/>
    <w:rsid w:val="00F26FCD"/>
    <w:pPr>
      <w:keepNext/>
      <w:tabs>
        <w:tab w:val="clear" w:pos="850"/>
        <w:tab w:val="clear" w:pos="1191"/>
        <w:tab w:val="clear" w:pos="1531"/>
      </w:tabs>
      <w:spacing w:after="120"/>
      <w:ind w:left="680" w:right="680"/>
      <w:jc w:val="center"/>
    </w:pPr>
    <w:rPr>
      <w:rFonts w:eastAsia="SimSun" w:cs="Arial"/>
      <w:sz w:val="18"/>
    </w:rPr>
  </w:style>
  <w:style w:type="character" w:styleId="FootnoteReference">
    <w:name w:val="footnote reference"/>
    <w:aliases w:val="Footnote symbol,Знак сноски-FN,callout,Rimando notaOreste,Rimando notaOreste1,Rimando notaOreste2,nota a piè di pagina,(Footnote Reference),SUPERS,EN Footnote Reference,Footnote reference number,note TESI,Footnote number,fr,o,Footnote"/>
    <w:basedOn w:val="DefaultParagraphFont"/>
    <w:uiPriority w:val="99"/>
    <w:qFormat/>
    <w:rsid w:val="0010021A"/>
    <w:rPr>
      <w:rFonts w:ascii="Times New Roman" w:hAnsi="Times New Roman"/>
      <w:i w:val="0"/>
      <w:position w:val="0"/>
      <w:sz w:val="22"/>
      <w:vertAlign w:val="superscript"/>
    </w:rPr>
  </w:style>
  <w:style w:type="paragraph" w:styleId="FootnoteText">
    <w:name w:val="footnote text"/>
    <w:aliases w:val="Footnote Text Char2,Footnote Text Char1 Char,Footnote Text Char3 Char Char,Footnote Text Char2 Char Char Char,Footnote Text Char1 Char1 Char Char Char,ft Char1 Char Char Char Char,Footnote Text Char1 Char Char Char Char Char,ft,f"/>
    <w:basedOn w:val="Normal"/>
    <w:link w:val="FootnoteTextChar"/>
    <w:uiPriority w:val="99"/>
    <w:rsid w:val="00027DF3"/>
    <w:pPr>
      <w:tabs>
        <w:tab w:val="clear" w:pos="850"/>
        <w:tab w:val="clear" w:pos="1191"/>
        <w:tab w:val="clear" w:pos="1531"/>
      </w:tabs>
      <w:spacing w:after="120"/>
      <w:ind w:left="680" w:right="680"/>
    </w:pPr>
    <w:rPr>
      <w:rFonts w:eastAsia="SimSun"/>
      <w:sz w:val="20"/>
    </w:rPr>
  </w:style>
  <w:style w:type="character" w:customStyle="1" w:styleId="FootnoteTextChar">
    <w:name w:val="Footnote Text Char"/>
    <w:aliases w:val="Footnote Text Char2 Char,Footnote Text Char1 Char Char,Footnote Text Char3 Char Char Char,Footnote Text Char2 Char Char Char Char,Footnote Text Char1 Char1 Char Char Char Char,ft Char1 Char Char Char Char Char,ft Char,f Char"/>
    <w:basedOn w:val="DefaultParagraphFont"/>
    <w:link w:val="FootnoteText"/>
    <w:uiPriority w:val="99"/>
    <w:rsid w:val="00027DF3"/>
    <w:rPr>
      <w:rFonts w:ascii="Times New Roman" w:eastAsia="SimSun" w:hAnsi="Times New Roman"/>
      <w:lang w:val="en-GB"/>
    </w:rPr>
  </w:style>
  <w:style w:type="paragraph" w:styleId="Index1">
    <w:name w:val="index 1"/>
    <w:basedOn w:val="Normal"/>
    <w:next w:val="Normal"/>
    <w:semiHidden/>
    <w:rsid w:val="00156910"/>
    <w:pPr>
      <w:tabs>
        <w:tab w:val="clear" w:pos="850"/>
        <w:tab w:val="clear" w:pos="1191"/>
        <w:tab w:val="clear" w:pos="1531"/>
      </w:tabs>
      <w:ind w:left="220" w:hanging="220"/>
    </w:pPr>
    <w:rPr>
      <w:rFonts w:eastAsia="SimSun"/>
    </w:rPr>
  </w:style>
  <w:style w:type="paragraph" w:styleId="IndexHeading">
    <w:name w:val="index heading"/>
    <w:basedOn w:val="Normal"/>
    <w:next w:val="BodyText"/>
    <w:semiHidden/>
    <w:rsid w:val="00156910"/>
    <w:pPr>
      <w:keepNext/>
      <w:tabs>
        <w:tab w:val="clear" w:pos="850"/>
        <w:tab w:val="clear" w:pos="1191"/>
        <w:tab w:val="clear" w:pos="1531"/>
      </w:tabs>
      <w:spacing w:before="1200" w:after="720"/>
      <w:jc w:val="center"/>
    </w:pPr>
    <w:rPr>
      <w:rFonts w:eastAsia="SimSun"/>
      <w:b/>
      <w:bCs/>
      <w:caps/>
    </w:rPr>
  </w:style>
  <w:style w:type="paragraph" w:styleId="List">
    <w:name w:val="List"/>
    <w:basedOn w:val="Normal"/>
    <w:semiHidden/>
    <w:rsid w:val="00156910"/>
    <w:pPr>
      <w:tabs>
        <w:tab w:val="clear" w:pos="850"/>
        <w:tab w:val="clear" w:pos="1191"/>
        <w:tab w:val="clear" w:pos="1531"/>
      </w:tabs>
      <w:ind w:left="850" w:hanging="283"/>
    </w:pPr>
    <w:rPr>
      <w:rFonts w:eastAsia="SimSun"/>
    </w:rPr>
  </w:style>
  <w:style w:type="paragraph" w:styleId="List2">
    <w:name w:val="List 2"/>
    <w:basedOn w:val="Normal"/>
    <w:semiHidden/>
    <w:rsid w:val="00156910"/>
    <w:pPr>
      <w:tabs>
        <w:tab w:val="clear" w:pos="850"/>
        <w:tab w:val="clear" w:pos="1191"/>
        <w:tab w:val="clear" w:pos="1531"/>
      </w:tabs>
      <w:ind w:left="1134" w:hanging="283"/>
    </w:pPr>
    <w:rPr>
      <w:rFonts w:eastAsia="SimSun"/>
    </w:rPr>
  </w:style>
  <w:style w:type="paragraph" w:styleId="List3">
    <w:name w:val="List 3"/>
    <w:basedOn w:val="Normal"/>
    <w:semiHidden/>
    <w:rsid w:val="00156910"/>
    <w:pPr>
      <w:tabs>
        <w:tab w:val="clear" w:pos="850"/>
        <w:tab w:val="clear" w:pos="1191"/>
        <w:tab w:val="clear" w:pos="1531"/>
      </w:tabs>
      <w:ind w:left="1417" w:hanging="283"/>
    </w:pPr>
    <w:rPr>
      <w:rFonts w:eastAsia="SimSun"/>
    </w:rPr>
  </w:style>
  <w:style w:type="paragraph" w:styleId="List4">
    <w:name w:val="List 4"/>
    <w:basedOn w:val="Normal"/>
    <w:semiHidden/>
    <w:rsid w:val="00156910"/>
    <w:pPr>
      <w:tabs>
        <w:tab w:val="clear" w:pos="850"/>
        <w:tab w:val="clear" w:pos="1191"/>
        <w:tab w:val="clear" w:pos="1531"/>
      </w:tabs>
      <w:jc w:val="left"/>
    </w:pPr>
    <w:rPr>
      <w:rFonts w:eastAsia="SimSun"/>
    </w:rPr>
  </w:style>
  <w:style w:type="paragraph" w:styleId="List5">
    <w:name w:val="List 5"/>
    <w:basedOn w:val="Normal"/>
    <w:semiHidden/>
    <w:rsid w:val="00156910"/>
    <w:pPr>
      <w:tabs>
        <w:tab w:val="clear" w:pos="850"/>
        <w:tab w:val="clear" w:pos="1191"/>
        <w:tab w:val="clear" w:pos="1531"/>
      </w:tabs>
      <w:ind w:left="1984" w:hanging="283"/>
    </w:pPr>
    <w:rPr>
      <w:rFonts w:eastAsia="SimSun"/>
    </w:rPr>
  </w:style>
  <w:style w:type="paragraph" w:styleId="ListBullet">
    <w:name w:val="List Bullet"/>
    <w:basedOn w:val="Normal"/>
    <w:semiHidden/>
    <w:rsid w:val="00156910"/>
    <w:pPr>
      <w:numPr>
        <w:numId w:val="5"/>
      </w:numPr>
      <w:tabs>
        <w:tab w:val="clear" w:pos="850"/>
        <w:tab w:val="clear" w:pos="1191"/>
        <w:tab w:val="clear" w:pos="1531"/>
        <w:tab w:val="left" w:pos="567"/>
      </w:tabs>
      <w:ind w:left="567" w:hanging="227"/>
    </w:pPr>
    <w:rPr>
      <w:rFonts w:eastAsia="SimSun"/>
    </w:rPr>
  </w:style>
  <w:style w:type="paragraph" w:styleId="ListBullet2">
    <w:name w:val="List Bullet 2"/>
    <w:basedOn w:val="Normal"/>
    <w:semiHidden/>
    <w:rsid w:val="00156910"/>
    <w:pPr>
      <w:numPr>
        <w:numId w:val="6"/>
      </w:numPr>
      <w:tabs>
        <w:tab w:val="clear" w:pos="850"/>
        <w:tab w:val="clear" w:pos="1531"/>
      </w:tabs>
    </w:pPr>
    <w:rPr>
      <w:rFonts w:eastAsia="SimSun"/>
    </w:rPr>
  </w:style>
  <w:style w:type="paragraph" w:styleId="ListBullet3">
    <w:name w:val="List Bullet 3"/>
    <w:basedOn w:val="Normal"/>
    <w:semiHidden/>
    <w:rsid w:val="00156910"/>
    <w:pPr>
      <w:numPr>
        <w:numId w:val="7"/>
      </w:numPr>
      <w:tabs>
        <w:tab w:val="clear" w:pos="850"/>
        <w:tab w:val="clear" w:pos="1191"/>
        <w:tab w:val="clear" w:pos="1531"/>
      </w:tabs>
    </w:pPr>
    <w:rPr>
      <w:rFonts w:eastAsia="SimSun"/>
    </w:rPr>
  </w:style>
  <w:style w:type="paragraph" w:styleId="ListBullet4">
    <w:name w:val="List Bullet 4"/>
    <w:basedOn w:val="Normal"/>
    <w:semiHidden/>
    <w:rsid w:val="00156910"/>
    <w:pPr>
      <w:numPr>
        <w:numId w:val="8"/>
      </w:numPr>
      <w:tabs>
        <w:tab w:val="clear" w:pos="850"/>
        <w:tab w:val="clear" w:pos="1191"/>
        <w:tab w:val="clear" w:pos="1531"/>
      </w:tabs>
    </w:pPr>
    <w:rPr>
      <w:rFonts w:eastAsia="SimSun"/>
    </w:rPr>
  </w:style>
  <w:style w:type="paragraph" w:styleId="ListBullet5">
    <w:name w:val="List Bullet 5"/>
    <w:basedOn w:val="Normal"/>
    <w:semiHidden/>
    <w:rsid w:val="00156910"/>
    <w:pPr>
      <w:numPr>
        <w:numId w:val="9"/>
      </w:numPr>
      <w:tabs>
        <w:tab w:val="clear" w:pos="850"/>
        <w:tab w:val="clear" w:pos="1191"/>
        <w:tab w:val="clear" w:pos="1531"/>
      </w:tabs>
    </w:pPr>
    <w:rPr>
      <w:rFonts w:eastAsia="SimSun"/>
    </w:rPr>
  </w:style>
  <w:style w:type="paragraph" w:styleId="ListContinue">
    <w:name w:val="List Continue"/>
    <w:basedOn w:val="Normal"/>
    <w:semiHidden/>
    <w:rsid w:val="00156910"/>
    <w:pPr>
      <w:tabs>
        <w:tab w:val="clear" w:pos="850"/>
        <w:tab w:val="clear" w:pos="1191"/>
        <w:tab w:val="clear" w:pos="1531"/>
      </w:tabs>
      <w:ind w:left="850"/>
    </w:pPr>
    <w:rPr>
      <w:rFonts w:eastAsia="SimSun"/>
    </w:rPr>
  </w:style>
  <w:style w:type="paragraph" w:styleId="ListContinue2">
    <w:name w:val="List Continue 2"/>
    <w:basedOn w:val="Normal"/>
    <w:semiHidden/>
    <w:rsid w:val="00156910"/>
    <w:pPr>
      <w:tabs>
        <w:tab w:val="clear" w:pos="850"/>
        <w:tab w:val="clear" w:pos="1191"/>
        <w:tab w:val="clear" w:pos="1531"/>
      </w:tabs>
      <w:ind w:left="1191"/>
    </w:pPr>
    <w:rPr>
      <w:rFonts w:eastAsia="SimSun"/>
    </w:rPr>
  </w:style>
  <w:style w:type="paragraph" w:styleId="ListContinue3">
    <w:name w:val="List Continue 3"/>
    <w:basedOn w:val="Normal"/>
    <w:semiHidden/>
    <w:rsid w:val="00156910"/>
    <w:pPr>
      <w:tabs>
        <w:tab w:val="clear" w:pos="850"/>
        <w:tab w:val="clear" w:pos="1191"/>
        <w:tab w:val="clear" w:pos="1531"/>
      </w:tabs>
      <w:ind w:left="1474"/>
    </w:pPr>
    <w:rPr>
      <w:rFonts w:eastAsia="SimSun"/>
    </w:rPr>
  </w:style>
  <w:style w:type="paragraph" w:styleId="ListContinue4">
    <w:name w:val="List Continue 4"/>
    <w:basedOn w:val="Normal"/>
    <w:semiHidden/>
    <w:rsid w:val="00156910"/>
    <w:pPr>
      <w:tabs>
        <w:tab w:val="clear" w:pos="850"/>
        <w:tab w:val="clear" w:pos="1191"/>
        <w:tab w:val="clear" w:pos="1531"/>
      </w:tabs>
      <w:ind w:left="1757"/>
    </w:pPr>
    <w:rPr>
      <w:rFonts w:eastAsia="SimSun"/>
    </w:rPr>
  </w:style>
  <w:style w:type="paragraph" w:styleId="ListContinue5">
    <w:name w:val="List Continue 5"/>
    <w:basedOn w:val="Normal"/>
    <w:semiHidden/>
    <w:rsid w:val="00156910"/>
    <w:pPr>
      <w:tabs>
        <w:tab w:val="clear" w:pos="850"/>
        <w:tab w:val="clear" w:pos="1191"/>
        <w:tab w:val="clear" w:pos="1531"/>
      </w:tabs>
      <w:ind w:left="2041"/>
    </w:pPr>
    <w:rPr>
      <w:rFonts w:eastAsia="SimSun"/>
    </w:rPr>
  </w:style>
  <w:style w:type="paragraph" w:styleId="ListNumber">
    <w:name w:val="List Number"/>
    <w:basedOn w:val="Normal"/>
    <w:semiHidden/>
    <w:rsid w:val="00156910"/>
    <w:pPr>
      <w:numPr>
        <w:numId w:val="10"/>
      </w:numPr>
      <w:tabs>
        <w:tab w:val="clear" w:pos="1191"/>
        <w:tab w:val="clear" w:pos="1531"/>
        <w:tab w:val="left" w:pos="1134"/>
      </w:tabs>
    </w:pPr>
    <w:rPr>
      <w:rFonts w:eastAsia="SimSun"/>
    </w:rPr>
  </w:style>
  <w:style w:type="paragraph" w:styleId="ListNumber2">
    <w:name w:val="List Number 2"/>
    <w:basedOn w:val="Normal"/>
    <w:semiHidden/>
    <w:rsid w:val="00156910"/>
    <w:pPr>
      <w:numPr>
        <w:ilvl w:val="1"/>
        <w:numId w:val="10"/>
      </w:numPr>
      <w:tabs>
        <w:tab w:val="clear" w:pos="850"/>
        <w:tab w:val="clear" w:pos="1531"/>
        <w:tab w:val="left" w:pos="1417"/>
      </w:tabs>
    </w:pPr>
    <w:rPr>
      <w:rFonts w:eastAsia="SimSun"/>
    </w:rPr>
  </w:style>
  <w:style w:type="paragraph" w:styleId="ListNumber3">
    <w:name w:val="List Number 3"/>
    <w:basedOn w:val="Normal"/>
    <w:semiHidden/>
    <w:rsid w:val="00156910"/>
    <w:pPr>
      <w:numPr>
        <w:ilvl w:val="2"/>
        <w:numId w:val="10"/>
      </w:numPr>
      <w:tabs>
        <w:tab w:val="clear" w:pos="850"/>
        <w:tab w:val="clear" w:pos="1191"/>
        <w:tab w:val="clear" w:pos="1531"/>
        <w:tab w:val="left" w:pos="1701"/>
      </w:tabs>
    </w:pPr>
    <w:rPr>
      <w:rFonts w:eastAsia="SimSun"/>
    </w:rPr>
  </w:style>
  <w:style w:type="paragraph" w:styleId="ListNumber4">
    <w:name w:val="List Number 4"/>
    <w:basedOn w:val="Normal"/>
    <w:semiHidden/>
    <w:rsid w:val="00156910"/>
    <w:pPr>
      <w:numPr>
        <w:ilvl w:val="3"/>
        <w:numId w:val="10"/>
      </w:numPr>
      <w:tabs>
        <w:tab w:val="clear" w:pos="850"/>
        <w:tab w:val="clear" w:pos="1191"/>
        <w:tab w:val="clear" w:pos="1531"/>
        <w:tab w:val="left" w:pos="1984"/>
      </w:tabs>
    </w:pPr>
    <w:rPr>
      <w:rFonts w:eastAsia="SimSun"/>
    </w:rPr>
  </w:style>
  <w:style w:type="paragraph" w:styleId="ListNumber5">
    <w:name w:val="List Number 5"/>
    <w:basedOn w:val="Normal"/>
    <w:semiHidden/>
    <w:rsid w:val="00156910"/>
    <w:pPr>
      <w:numPr>
        <w:ilvl w:val="4"/>
        <w:numId w:val="10"/>
      </w:numPr>
      <w:tabs>
        <w:tab w:val="clear" w:pos="850"/>
        <w:tab w:val="clear" w:pos="1191"/>
        <w:tab w:val="clear" w:pos="1531"/>
        <w:tab w:val="clear" w:pos="2041"/>
        <w:tab w:val="num" w:pos="360"/>
        <w:tab w:val="left" w:pos="2268"/>
      </w:tabs>
      <w:ind w:left="0" w:firstLine="0"/>
    </w:pPr>
    <w:rPr>
      <w:rFonts w:eastAsia="SimSun"/>
    </w:rPr>
  </w:style>
  <w:style w:type="paragraph" w:customStyle="1" w:styleId="Sourcenotes">
    <w:name w:val="Source &amp; notes"/>
    <w:basedOn w:val="Normal"/>
    <w:uiPriority w:val="9"/>
    <w:qFormat/>
    <w:rsid w:val="00F2114E"/>
    <w:pPr>
      <w:keepLines/>
      <w:tabs>
        <w:tab w:val="clear" w:pos="850"/>
        <w:tab w:val="clear" w:pos="1191"/>
        <w:tab w:val="clear" w:pos="1531"/>
      </w:tabs>
      <w:spacing w:before="120" w:after="240"/>
      <w:ind w:left="680" w:right="680"/>
      <w:contextualSpacing/>
    </w:pPr>
    <w:rPr>
      <w:rFonts w:eastAsia="SimSun" w:cs="Arial"/>
      <w:sz w:val="18"/>
      <w:szCs w:val="18"/>
    </w:rPr>
  </w:style>
  <w:style w:type="paragraph" w:styleId="BlockText">
    <w:name w:val="Block Text"/>
    <w:basedOn w:val="Normal"/>
    <w:semiHidden/>
    <w:rsid w:val="00156910"/>
    <w:pPr>
      <w:tabs>
        <w:tab w:val="clear" w:pos="850"/>
        <w:tab w:val="clear" w:pos="1191"/>
        <w:tab w:val="clear" w:pos="1531"/>
      </w:tabs>
      <w:spacing w:after="120"/>
      <w:ind w:left="1440" w:right="1440"/>
    </w:pPr>
    <w:rPr>
      <w:rFonts w:eastAsia="SimSun"/>
    </w:rPr>
  </w:style>
  <w:style w:type="numbering" w:customStyle="1" w:styleId="NumberedNote">
    <w:name w:val="Numbered Note"/>
    <w:basedOn w:val="NoList"/>
    <w:rsid w:val="00156910"/>
    <w:pPr>
      <w:numPr>
        <w:numId w:val="1"/>
      </w:numPr>
    </w:pPr>
  </w:style>
  <w:style w:type="numbering" w:customStyle="1" w:styleId="BulletedNote">
    <w:name w:val="Bulleted Note"/>
    <w:basedOn w:val="NoList"/>
    <w:rsid w:val="00156910"/>
    <w:pPr>
      <w:numPr>
        <w:numId w:val="2"/>
      </w:numPr>
    </w:pPr>
  </w:style>
  <w:style w:type="numbering" w:customStyle="1" w:styleId="NumericNote">
    <w:name w:val="Numeric Note"/>
    <w:basedOn w:val="NoList"/>
    <w:rsid w:val="00156910"/>
    <w:pPr>
      <w:numPr>
        <w:numId w:val="3"/>
      </w:numPr>
    </w:pPr>
  </w:style>
  <w:style w:type="numbering" w:customStyle="1" w:styleId="AlphaNote">
    <w:name w:val="Alpha Note"/>
    <w:basedOn w:val="NoList"/>
    <w:rsid w:val="00156910"/>
    <w:pPr>
      <w:numPr>
        <w:numId w:val="4"/>
      </w:numPr>
    </w:pPr>
  </w:style>
  <w:style w:type="paragraph" w:styleId="EnvelopeAddress">
    <w:name w:val="envelope address"/>
    <w:basedOn w:val="Normal"/>
    <w:semiHidden/>
    <w:rsid w:val="00156910"/>
    <w:pPr>
      <w:framePr w:w="7938" w:h="1985" w:hRule="exact" w:hSpace="141" w:wrap="auto" w:hAnchor="page" w:xAlign="center" w:yAlign="bottom"/>
      <w:tabs>
        <w:tab w:val="clear" w:pos="850"/>
        <w:tab w:val="clear" w:pos="1191"/>
        <w:tab w:val="clear" w:pos="1531"/>
      </w:tabs>
      <w:ind w:left="2835"/>
    </w:pPr>
    <w:rPr>
      <w:rFonts w:ascii="Arial" w:eastAsia="SimSun" w:hAnsi="Arial" w:cs="Arial"/>
      <w:sz w:val="24"/>
      <w:szCs w:val="24"/>
    </w:rPr>
  </w:style>
  <w:style w:type="paragraph" w:styleId="EnvelopeReturn">
    <w:name w:val="envelope return"/>
    <w:basedOn w:val="Normal"/>
    <w:semiHidden/>
    <w:rsid w:val="00156910"/>
    <w:pPr>
      <w:tabs>
        <w:tab w:val="clear" w:pos="850"/>
        <w:tab w:val="clear" w:pos="1191"/>
        <w:tab w:val="clear" w:pos="1531"/>
      </w:tabs>
    </w:pPr>
    <w:rPr>
      <w:rFonts w:ascii="Arial" w:eastAsia="SimSun" w:hAnsi="Arial" w:cs="Arial"/>
    </w:rPr>
  </w:style>
  <w:style w:type="paragraph" w:styleId="HTMLAddress">
    <w:name w:val="HTML Address"/>
    <w:basedOn w:val="Normal"/>
    <w:link w:val="HTMLAddressChar"/>
    <w:semiHidden/>
    <w:rsid w:val="00156910"/>
    <w:pPr>
      <w:tabs>
        <w:tab w:val="clear" w:pos="850"/>
        <w:tab w:val="clear" w:pos="1191"/>
        <w:tab w:val="clear" w:pos="1531"/>
      </w:tabs>
    </w:pPr>
    <w:rPr>
      <w:rFonts w:eastAsia="SimSun"/>
      <w:i/>
      <w:iCs/>
    </w:rPr>
  </w:style>
  <w:style w:type="character" w:customStyle="1" w:styleId="HTMLAddressChar">
    <w:name w:val="HTML Address Char"/>
    <w:basedOn w:val="DefaultParagraphFont"/>
    <w:link w:val="HTMLAddress"/>
    <w:semiHidden/>
    <w:rsid w:val="0074276B"/>
    <w:rPr>
      <w:rFonts w:eastAsia="SimSun"/>
      <w:i/>
      <w:iCs/>
    </w:rPr>
  </w:style>
  <w:style w:type="paragraph" w:styleId="CommentText">
    <w:name w:val="annotation text"/>
    <w:basedOn w:val="Normal"/>
    <w:link w:val="CommentTextChar"/>
    <w:rsid w:val="00156910"/>
    <w:pPr>
      <w:tabs>
        <w:tab w:val="clear" w:pos="850"/>
        <w:tab w:val="clear" w:pos="1191"/>
        <w:tab w:val="clear" w:pos="1531"/>
      </w:tabs>
    </w:pPr>
    <w:rPr>
      <w:rFonts w:eastAsia="SimSun"/>
    </w:rPr>
  </w:style>
  <w:style w:type="character" w:customStyle="1" w:styleId="CommentTextChar">
    <w:name w:val="Comment Text Char"/>
    <w:basedOn w:val="DefaultParagraphFont"/>
    <w:link w:val="CommentText"/>
    <w:rsid w:val="00156910"/>
    <w:rPr>
      <w:rFonts w:ascii="Georgia" w:eastAsia="SimSun" w:hAnsi="Georgia"/>
    </w:rPr>
  </w:style>
  <w:style w:type="paragraph" w:styleId="BodyText2">
    <w:name w:val="Body Text 2"/>
    <w:basedOn w:val="Normal"/>
    <w:link w:val="BodyText2Char"/>
    <w:semiHidden/>
    <w:rsid w:val="00156910"/>
    <w:pPr>
      <w:tabs>
        <w:tab w:val="clear" w:pos="850"/>
        <w:tab w:val="clear" w:pos="1191"/>
        <w:tab w:val="clear" w:pos="1531"/>
      </w:tabs>
      <w:spacing w:after="120" w:line="480" w:lineRule="auto"/>
    </w:pPr>
    <w:rPr>
      <w:rFonts w:eastAsia="SimSun"/>
    </w:rPr>
  </w:style>
  <w:style w:type="character" w:customStyle="1" w:styleId="BodyText2Char">
    <w:name w:val="Body Text 2 Char"/>
    <w:basedOn w:val="DefaultParagraphFont"/>
    <w:link w:val="BodyText2"/>
    <w:semiHidden/>
    <w:rsid w:val="0074276B"/>
    <w:rPr>
      <w:rFonts w:eastAsia="SimSun"/>
    </w:rPr>
  </w:style>
  <w:style w:type="paragraph" w:styleId="BodyText3">
    <w:name w:val="Body Text 3"/>
    <w:basedOn w:val="Normal"/>
    <w:link w:val="BodyText3Char"/>
    <w:semiHidden/>
    <w:rsid w:val="00156910"/>
    <w:pPr>
      <w:tabs>
        <w:tab w:val="clear" w:pos="850"/>
        <w:tab w:val="clear" w:pos="1191"/>
        <w:tab w:val="clear" w:pos="1531"/>
      </w:tabs>
      <w:spacing w:after="120"/>
    </w:pPr>
    <w:rPr>
      <w:rFonts w:eastAsia="SimSun"/>
      <w:sz w:val="16"/>
      <w:szCs w:val="16"/>
    </w:rPr>
  </w:style>
  <w:style w:type="character" w:customStyle="1" w:styleId="BodyText3Char">
    <w:name w:val="Body Text 3 Char"/>
    <w:basedOn w:val="DefaultParagraphFont"/>
    <w:link w:val="BodyText3"/>
    <w:semiHidden/>
    <w:rsid w:val="0074276B"/>
    <w:rPr>
      <w:rFonts w:eastAsia="SimSun"/>
      <w:sz w:val="16"/>
      <w:szCs w:val="16"/>
    </w:rPr>
  </w:style>
  <w:style w:type="paragraph" w:styleId="Date">
    <w:name w:val="Date"/>
    <w:basedOn w:val="Normal"/>
    <w:next w:val="Normal"/>
    <w:link w:val="DateChar"/>
    <w:unhideWhenUsed/>
    <w:rsid w:val="00156910"/>
    <w:pPr>
      <w:tabs>
        <w:tab w:val="clear" w:pos="850"/>
        <w:tab w:val="clear" w:pos="1191"/>
        <w:tab w:val="clear" w:pos="1531"/>
      </w:tabs>
    </w:pPr>
    <w:rPr>
      <w:rFonts w:eastAsia="SimSun"/>
    </w:rPr>
  </w:style>
  <w:style w:type="character" w:customStyle="1" w:styleId="DateChar">
    <w:name w:val="Date Char"/>
    <w:basedOn w:val="DefaultParagraphFont"/>
    <w:link w:val="Date"/>
    <w:rsid w:val="0074276B"/>
    <w:rPr>
      <w:rFonts w:eastAsia="SimSun"/>
    </w:rPr>
  </w:style>
  <w:style w:type="paragraph" w:styleId="MessageHeader">
    <w:name w:val="Message Header"/>
    <w:basedOn w:val="Normal"/>
    <w:link w:val="MessageHeaderChar"/>
    <w:semiHidden/>
    <w:rsid w:val="00156910"/>
    <w:pPr>
      <w:pBdr>
        <w:top w:val="single" w:sz="6" w:space="1" w:color="auto"/>
        <w:left w:val="single" w:sz="6" w:space="1" w:color="auto"/>
        <w:bottom w:val="single" w:sz="6" w:space="1" w:color="auto"/>
        <w:right w:val="single" w:sz="6" w:space="1" w:color="auto"/>
      </w:pBdr>
      <w:shd w:val="pct20" w:color="auto" w:fill="auto"/>
      <w:tabs>
        <w:tab w:val="clear" w:pos="850"/>
        <w:tab w:val="clear" w:pos="1191"/>
        <w:tab w:val="clear" w:pos="1531"/>
      </w:tabs>
      <w:ind w:left="1134" w:hanging="1134"/>
    </w:pPr>
    <w:rPr>
      <w:rFonts w:ascii="Arial" w:eastAsia="SimSun" w:hAnsi="Arial" w:cs="Arial"/>
      <w:sz w:val="24"/>
      <w:szCs w:val="24"/>
    </w:rPr>
  </w:style>
  <w:style w:type="character" w:customStyle="1" w:styleId="MessageHeaderChar">
    <w:name w:val="Message Header Char"/>
    <w:basedOn w:val="DefaultParagraphFont"/>
    <w:link w:val="MessageHeader"/>
    <w:semiHidden/>
    <w:rsid w:val="0074276B"/>
    <w:rPr>
      <w:rFonts w:ascii="Arial" w:eastAsia="SimSun" w:hAnsi="Arial" w:cs="Arial"/>
      <w:sz w:val="24"/>
      <w:szCs w:val="24"/>
      <w:shd w:val="pct20" w:color="auto" w:fill="auto"/>
    </w:rPr>
  </w:style>
  <w:style w:type="paragraph" w:styleId="DocumentMap">
    <w:name w:val="Document Map"/>
    <w:basedOn w:val="Normal"/>
    <w:link w:val="DocumentMapChar"/>
    <w:semiHidden/>
    <w:rsid w:val="00156910"/>
    <w:pPr>
      <w:shd w:val="clear" w:color="auto" w:fill="000080"/>
      <w:tabs>
        <w:tab w:val="clear" w:pos="850"/>
        <w:tab w:val="clear" w:pos="1191"/>
        <w:tab w:val="clear" w:pos="1531"/>
      </w:tabs>
    </w:pPr>
    <w:rPr>
      <w:rFonts w:eastAsia="SimSun" w:cs="Tahoma"/>
    </w:rPr>
  </w:style>
  <w:style w:type="character" w:customStyle="1" w:styleId="DocumentMapChar">
    <w:name w:val="Document Map Char"/>
    <w:basedOn w:val="DefaultParagraphFont"/>
    <w:link w:val="DocumentMap"/>
    <w:semiHidden/>
    <w:rsid w:val="00156910"/>
    <w:rPr>
      <w:rFonts w:ascii="Georgia" w:eastAsia="SimSun" w:hAnsi="Georgia" w:cs="Tahoma"/>
      <w:shd w:val="clear" w:color="auto" w:fill="000080"/>
    </w:rPr>
  </w:style>
  <w:style w:type="paragraph" w:styleId="Closing">
    <w:name w:val="Closing"/>
    <w:basedOn w:val="Normal"/>
    <w:link w:val="ClosingChar"/>
    <w:semiHidden/>
    <w:rsid w:val="00156910"/>
    <w:pPr>
      <w:tabs>
        <w:tab w:val="clear" w:pos="850"/>
        <w:tab w:val="clear" w:pos="1191"/>
        <w:tab w:val="clear" w:pos="1531"/>
      </w:tabs>
      <w:ind w:left="4252"/>
    </w:pPr>
    <w:rPr>
      <w:rFonts w:eastAsia="SimSun"/>
    </w:rPr>
  </w:style>
  <w:style w:type="character" w:customStyle="1" w:styleId="ClosingChar">
    <w:name w:val="Closing Char"/>
    <w:basedOn w:val="DefaultParagraphFont"/>
    <w:link w:val="Closing"/>
    <w:semiHidden/>
    <w:rsid w:val="0074276B"/>
    <w:rPr>
      <w:rFonts w:eastAsia="SimSun"/>
    </w:rPr>
  </w:style>
  <w:style w:type="paragraph" w:styleId="Index2">
    <w:name w:val="index 2"/>
    <w:basedOn w:val="Normal"/>
    <w:next w:val="Normal"/>
    <w:semiHidden/>
    <w:rsid w:val="00156910"/>
    <w:pPr>
      <w:tabs>
        <w:tab w:val="clear" w:pos="850"/>
        <w:tab w:val="clear" w:pos="1191"/>
        <w:tab w:val="clear" w:pos="1531"/>
      </w:tabs>
      <w:ind w:left="440" w:hanging="220"/>
    </w:pPr>
    <w:rPr>
      <w:rFonts w:eastAsia="SimSun"/>
    </w:rPr>
  </w:style>
  <w:style w:type="paragraph" w:styleId="Index3">
    <w:name w:val="index 3"/>
    <w:basedOn w:val="Normal"/>
    <w:next w:val="Normal"/>
    <w:semiHidden/>
    <w:rsid w:val="00156910"/>
    <w:pPr>
      <w:tabs>
        <w:tab w:val="clear" w:pos="850"/>
        <w:tab w:val="clear" w:pos="1191"/>
        <w:tab w:val="clear" w:pos="1531"/>
      </w:tabs>
      <w:ind w:left="660" w:hanging="220"/>
    </w:pPr>
    <w:rPr>
      <w:rFonts w:eastAsia="SimSun"/>
    </w:rPr>
  </w:style>
  <w:style w:type="paragraph" w:styleId="Index4">
    <w:name w:val="index 4"/>
    <w:basedOn w:val="Normal"/>
    <w:next w:val="Normal"/>
    <w:semiHidden/>
    <w:rsid w:val="00156910"/>
    <w:pPr>
      <w:tabs>
        <w:tab w:val="clear" w:pos="850"/>
        <w:tab w:val="clear" w:pos="1191"/>
        <w:tab w:val="clear" w:pos="1531"/>
      </w:tabs>
      <w:ind w:left="880" w:hanging="220"/>
    </w:pPr>
    <w:rPr>
      <w:rFonts w:eastAsia="SimSun"/>
    </w:rPr>
  </w:style>
  <w:style w:type="paragraph" w:styleId="Index5">
    <w:name w:val="index 5"/>
    <w:basedOn w:val="Normal"/>
    <w:next w:val="Normal"/>
    <w:semiHidden/>
    <w:rsid w:val="00156910"/>
    <w:pPr>
      <w:tabs>
        <w:tab w:val="clear" w:pos="850"/>
        <w:tab w:val="clear" w:pos="1191"/>
        <w:tab w:val="clear" w:pos="1531"/>
      </w:tabs>
      <w:ind w:left="1100" w:hanging="220"/>
    </w:pPr>
    <w:rPr>
      <w:rFonts w:eastAsia="SimSun"/>
    </w:rPr>
  </w:style>
  <w:style w:type="paragraph" w:styleId="Index6">
    <w:name w:val="index 6"/>
    <w:basedOn w:val="Normal"/>
    <w:next w:val="Normal"/>
    <w:semiHidden/>
    <w:rsid w:val="00156910"/>
    <w:pPr>
      <w:tabs>
        <w:tab w:val="clear" w:pos="850"/>
        <w:tab w:val="clear" w:pos="1191"/>
        <w:tab w:val="clear" w:pos="1531"/>
      </w:tabs>
      <w:ind w:left="1320" w:hanging="220"/>
    </w:pPr>
    <w:rPr>
      <w:rFonts w:eastAsia="SimSun"/>
    </w:rPr>
  </w:style>
  <w:style w:type="paragraph" w:styleId="Index7">
    <w:name w:val="index 7"/>
    <w:basedOn w:val="Normal"/>
    <w:next w:val="Normal"/>
    <w:semiHidden/>
    <w:rsid w:val="00156910"/>
    <w:pPr>
      <w:tabs>
        <w:tab w:val="clear" w:pos="850"/>
        <w:tab w:val="clear" w:pos="1191"/>
        <w:tab w:val="clear" w:pos="1531"/>
      </w:tabs>
      <w:ind w:left="1540" w:hanging="220"/>
    </w:pPr>
    <w:rPr>
      <w:rFonts w:eastAsia="SimSun"/>
    </w:rPr>
  </w:style>
  <w:style w:type="paragraph" w:styleId="Index8">
    <w:name w:val="index 8"/>
    <w:basedOn w:val="Normal"/>
    <w:next w:val="Normal"/>
    <w:semiHidden/>
    <w:rsid w:val="00156910"/>
    <w:pPr>
      <w:tabs>
        <w:tab w:val="clear" w:pos="850"/>
        <w:tab w:val="clear" w:pos="1191"/>
        <w:tab w:val="clear" w:pos="1531"/>
      </w:tabs>
      <w:ind w:left="1760" w:hanging="220"/>
    </w:pPr>
    <w:rPr>
      <w:rFonts w:eastAsia="SimSun"/>
    </w:rPr>
  </w:style>
  <w:style w:type="paragraph" w:styleId="Index9">
    <w:name w:val="index 9"/>
    <w:basedOn w:val="Normal"/>
    <w:next w:val="Normal"/>
    <w:semiHidden/>
    <w:rsid w:val="00156910"/>
    <w:pPr>
      <w:tabs>
        <w:tab w:val="clear" w:pos="850"/>
        <w:tab w:val="clear" w:pos="1191"/>
        <w:tab w:val="clear" w:pos="1531"/>
      </w:tabs>
      <w:ind w:left="1980" w:hanging="220"/>
    </w:pPr>
    <w:rPr>
      <w:rFonts w:eastAsia="SimSun"/>
    </w:rPr>
  </w:style>
  <w:style w:type="paragraph" w:styleId="NormalWeb">
    <w:name w:val="Normal (Web)"/>
    <w:basedOn w:val="Normal"/>
    <w:uiPriority w:val="99"/>
    <w:rsid w:val="00156910"/>
    <w:pPr>
      <w:tabs>
        <w:tab w:val="clear" w:pos="850"/>
        <w:tab w:val="clear" w:pos="1191"/>
        <w:tab w:val="clear" w:pos="1531"/>
      </w:tabs>
    </w:pPr>
    <w:rPr>
      <w:rFonts w:eastAsia="SimSun"/>
      <w:sz w:val="24"/>
      <w:szCs w:val="24"/>
    </w:rPr>
  </w:style>
  <w:style w:type="paragraph" w:styleId="CommentSubject">
    <w:name w:val="annotation subject"/>
    <w:basedOn w:val="CommentText"/>
    <w:next w:val="CommentText"/>
    <w:link w:val="CommentSubjectChar"/>
    <w:semiHidden/>
    <w:rsid w:val="00156910"/>
    <w:rPr>
      <w:b/>
      <w:bCs/>
    </w:rPr>
  </w:style>
  <w:style w:type="character" w:customStyle="1" w:styleId="CommentSubjectChar">
    <w:name w:val="Comment Subject Char"/>
    <w:basedOn w:val="CommentTextChar"/>
    <w:link w:val="CommentSubject"/>
    <w:semiHidden/>
    <w:rsid w:val="00156910"/>
    <w:rPr>
      <w:rFonts w:ascii="Georgia" w:eastAsia="SimSun" w:hAnsi="Georgia"/>
      <w:b/>
      <w:bCs/>
    </w:rPr>
  </w:style>
  <w:style w:type="paragraph" w:styleId="HTMLPreformatted">
    <w:name w:val="HTML Preformatted"/>
    <w:basedOn w:val="Normal"/>
    <w:link w:val="HTMLPreformattedChar"/>
    <w:semiHidden/>
    <w:rsid w:val="00156910"/>
    <w:pPr>
      <w:tabs>
        <w:tab w:val="clear" w:pos="850"/>
        <w:tab w:val="clear" w:pos="1191"/>
        <w:tab w:val="clear" w:pos="1531"/>
      </w:tabs>
    </w:pPr>
    <w:rPr>
      <w:rFonts w:ascii="Courier New" w:eastAsia="SimSun" w:hAnsi="Courier New" w:cs="Courier New"/>
    </w:rPr>
  </w:style>
  <w:style w:type="character" w:customStyle="1" w:styleId="HTMLPreformattedChar">
    <w:name w:val="HTML Preformatted Char"/>
    <w:basedOn w:val="DefaultParagraphFont"/>
    <w:link w:val="HTMLPreformatted"/>
    <w:semiHidden/>
    <w:rsid w:val="0074276B"/>
    <w:rPr>
      <w:rFonts w:ascii="Courier New" w:eastAsia="SimSun" w:hAnsi="Courier New" w:cs="Courier New"/>
    </w:rPr>
  </w:style>
  <w:style w:type="paragraph" w:styleId="BodyTextFirstIndent">
    <w:name w:val="Body Text First Indent"/>
    <w:basedOn w:val="BodyText"/>
    <w:link w:val="BodyTextFirstIndentChar"/>
    <w:semiHidden/>
    <w:rsid w:val="00156910"/>
    <w:pPr>
      <w:spacing w:after="120"/>
      <w:ind w:firstLine="210"/>
    </w:pPr>
  </w:style>
  <w:style w:type="character" w:customStyle="1" w:styleId="BodyTextFirstIndentChar">
    <w:name w:val="Body Text First Indent Char"/>
    <w:basedOn w:val="BodyTextChar"/>
    <w:link w:val="BodyTextFirstIndent"/>
    <w:semiHidden/>
    <w:rsid w:val="0074276B"/>
    <w:rPr>
      <w:rFonts w:eastAsia="SimSun"/>
    </w:rPr>
  </w:style>
  <w:style w:type="paragraph" w:styleId="BodyTextIndent">
    <w:name w:val="Body Text Indent"/>
    <w:basedOn w:val="Normal"/>
    <w:link w:val="BodyTextIndentChar"/>
    <w:semiHidden/>
    <w:rsid w:val="00156910"/>
    <w:pPr>
      <w:tabs>
        <w:tab w:val="clear" w:pos="850"/>
        <w:tab w:val="clear" w:pos="1191"/>
        <w:tab w:val="clear" w:pos="1531"/>
      </w:tabs>
      <w:ind w:left="442"/>
    </w:pPr>
    <w:rPr>
      <w:rFonts w:eastAsia="SimSun"/>
    </w:rPr>
  </w:style>
  <w:style w:type="character" w:customStyle="1" w:styleId="BodyTextIndentChar">
    <w:name w:val="Body Text Indent Char"/>
    <w:basedOn w:val="DefaultParagraphFont"/>
    <w:link w:val="BodyTextIndent"/>
    <w:semiHidden/>
    <w:rsid w:val="0074276B"/>
    <w:rPr>
      <w:rFonts w:eastAsia="SimSun"/>
    </w:rPr>
  </w:style>
  <w:style w:type="paragraph" w:styleId="BodyTextIndent2">
    <w:name w:val="Body Text Indent 2"/>
    <w:basedOn w:val="Normal"/>
    <w:link w:val="BodyTextIndent2Char"/>
    <w:semiHidden/>
    <w:rsid w:val="00156910"/>
    <w:pPr>
      <w:tabs>
        <w:tab w:val="clear" w:pos="850"/>
        <w:tab w:val="clear" w:pos="1191"/>
        <w:tab w:val="clear" w:pos="1531"/>
      </w:tabs>
      <w:spacing w:after="120" w:line="480" w:lineRule="auto"/>
      <w:ind w:left="283"/>
    </w:pPr>
    <w:rPr>
      <w:rFonts w:eastAsia="SimSun"/>
    </w:rPr>
  </w:style>
  <w:style w:type="character" w:customStyle="1" w:styleId="BodyTextIndent2Char">
    <w:name w:val="Body Text Indent 2 Char"/>
    <w:basedOn w:val="DefaultParagraphFont"/>
    <w:link w:val="BodyTextIndent2"/>
    <w:semiHidden/>
    <w:rsid w:val="0074276B"/>
    <w:rPr>
      <w:rFonts w:eastAsia="SimSun"/>
    </w:rPr>
  </w:style>
  <w:style w:type="paragraph" w:styleId="BodyTextIndent3">
    <w:name w:val="Body Text Indent 3"/>
    <w:basedOn w:val="Normal"/>
    <w:link w:val="BodyTextIndent3Char"/>
    <w:semiHidden/>
    <w:rsid w:val="00156910"/>
    <w:pPr>
      <w:tabs>
        <w:tab w:val="clear" w:pos="850"/>
        <w:tab w:val="clear" w:pos="1191"/>
        <w:tab w:val="clear" w:pos="1531"/>
      </w:tabs>
      <w:spacing w:after="120"/>
      <w:ind w:left="283"/>
    </w:pPr>
    <w:rPr>
      <w:rFonts w:eastAsia="SimSun"/>
      <w:sz w:val="16"/>
      <w:szCs w:val="16"/>
    </w:rPr>
  </w:style>
  <w:style w:type="character" w:customStyle="1" w:styleId="BodyTextIndent3Char">
    <w:name w:val="Body Text Indent 3 Char"/>
    <w:basedOn w:val="DefaultParagraphFont"/>
    <w:link w:val="BodyTextIndent3"/>
    <w:semiHidden/>
    <w:rsid w:val="0074276B"/>
    <w:rPr>
      <w:rFonts w:eastAsia="SimSun"/>
      <w:sz w:val="16"/>
      <w:szCs w:val="16"/>
    </w:rPr>
  </w:style>
  <w:style w:type="paragraph" w:styleId="BodyTextFirstIndent2">
    <w:name w:val="Body Text First Indent 2"/>
    <w:basedOn w:val="BodyTextIndent"/>
    <w:link w:val="BodyTextFirstIndent2Char"/>
    <w:semiHidden/>
    <w:rsid w:val="00156910"/>
    <w:pPr>
      <w:ind w:firstLine="210"/>
    </w:pPr>
  </w:style>
  <w:style w:type="character" w:customStyle="1" w:styleId="BodyTextFirstIndent2Char">
    <w:name w:val="Body Text First Indent 2 Char"/>
    <w:basedOn w:val="BodyTextIndentChar"/>
    <w:link w:val="BodyTextFirstIndent2"/>
    <w:semiHidden/>
    <w:rsid w:val="0074276B"/>
    <w:rPr>
      <w:rFonts w:eastAsia="SimSun"/>
    </w:rPr>
  </w:style>
  <w:style w:type="paragraph" w:styleId="NormalIndent">
    <w:name w:val="Normal Indent"/>
    <w:basedOn w:val="Normal"/>
    <w:semiHidden/>
    <w:rsid w:val="00156910"/>
    <w:pPr>
      <w:tabs>
        <w:tab w:val="clear" w:pos="850"/>
        <w:tab w:val="clear" w:pos="1191"/>
        <w:tab w:val="clear" w:pos="1531"/>
      </w:tabs>
      <w:ind w:left="708"/>
    </w:pPr>
    <w:rPr>
      <w:rFonts w:eastAsia="SimSun"/>
    </w:rPr>
  </w:style>
  <w:style w:type="paragraph" w:styleId="Salutation">
    <w:name w:val="Salutation"/>
    <w:basedOn w:val="Normal"/>
    <w:next w:val="Normal"/>
    <w:link w:val="SalutationChar"/>
    <w:semiHidden/>
    <w:rsid w:val="00156910"/>
    <w:pPr>
      <w:tabs>
        <w:tab w:val="clear" w:pos="850"/>
        <w:tab w:val="clear" w:pos="1191"/>
        <w:tab w:val="clear" w:pos="1531"/>
      </w:tabs>
    </w:pPr>
    <w:rPr>
      <w:rFonts w:eastAsia="SimSun"/>
    </w:rPr>
  </w:style>
  <w:style w:type="character" w:customStyle="1" w:styleId="SalutationChar">
    <w:name w:val="Salutation Char"/>
    <w:basedOn w:val="DefaultParagraphFont"/>
    <w:link w:val="Salutation"/>
    <w:semiHidden/>
    <w:rsid w:val="0074276B"/>
    <w:rPr>
      <w:rFonts w:eastAsia="SimSun"/>
    </w:rPr>
  </w:style>
  <w:style w:type="paragraph" w:styleId="Signature">
    <w:name w:val="Signature"/>
    <w:basedOn w:val="Normal"/>
    <w:link w:val="SignatureChar"/>
    <w:semiHidden/>
    <w:rsid w:val="00156910"/>
    <w:pPr>
      <w:tabs>
        <w:tab w:val="clear" w:pos="850"/>
        <w:tab w:val="clear" w:pos="1191"/>
        <w:tab w:val="clear" w:pos="1531"/>
      </w:tabs>
      <w:ind w:left="4252"/>
    </w:pPr>
    <w:rPr>
      <w:rFonts w:eastAsia="SimSun"/>
    </w:rPr>
  </w:style>
  <w:style w:type="character" w:customStyle="1" w:styleId="SignatureChar">
    <w:name w:val="Signature Char"/>
    <w:basedOn w:val="DefaultParagraphFont"/>
    <w:link w:val="Signature"/>
    <w:semiHidden/>
    <w:rsid w:val="0074276B"/>
    <w:rPr>
      <w:rFonts w:eastAsia="SimSun"/>
    </w:rPr>
  </w:style>
  <w:style w:type="paragraph" w:styleId="E-mailSignature">
    <w:name w:val="E-mail Signature"/>
    <w:basedOn w:val="Normal"/>
    <w:link w:val="E-mailSignatureChar"/>
    <w:semiHidden/>
    <w:rsid w:val="00156910"/>
    <w:pPr>
      <w:tabs>
        <w:tab w:val="clear" w:pos="850"/>
        <w:tab w:val="clear" w:pos="1191"/>
        <w:tab w:val="clear" w:pos="1531"/>
      </w:tabs>
    </w:pPr>
    <w:rPr>
      <w:rFonts w:eastAsia="SimSun"/>
    </w:rPr>
  </w:style>
  <w:style w:type="character" w:customStyle="1" w:styleId="E-mailSignatureChar">
    <w:name w:val="E-mail Signature Char"/>
    <w:basedOn w:val="DefaultParagraphFont"/>
    <w:link w:val="E-mailSignature"/>
    <w:semiHidden/>
    <w:rsid w:val="0074276B"/>
    <w:rPr>
      <w:rFonts w:eastAsia="SimSun"/>
    </w:rPr>
  </w:style>
  <w:style w:type="paragraph" w:styleId="TableofFigures">
    <w:name w:val="table of figures"/>
    <w:basedOn w:val="Normal"/>
    <w:next w:val="Normal"/>
    <w:uiPriority w:val="99"/>
    <w:unhideWhenUsed/>
    <w:rsid w:val="00807595"/>
    <w:pPr>
      <w:tabs>
        <w:tab w:val="clear" w:pos="850"/>
        <w:tab w:val="clear" w:pos="1191"/>
        <w:tab w:val="clear" w:pos="1531"/>
        <w:tab w:val="right" w:leader="dot" w:pos="9072"/>
      </w:tabs>
      <w:ind w:left="442" w:right="510" w:hanging="442"/>
      <w:jc w:val="left"/>
    </w:pPr>
    <w:rPr>
      <w:rFonts w:eastAsia="SimSun"/>
      <w:noProof/>
    </w:rPr>
  </w:style>
  <w:style w:type="paragraph" w:styleId="TableofAuthorities">
    <w:name w:val="table of authorities"/>
    <w:basedOn w:val="Normal"/>
    <w:next w:val="Normal"/>
    <w:semiHidden/>
    <w:rsid w:val="00156910"/>
    <w:pPr>
      <w:tabs>
        <w:tab w:val="clear" w:pos="850"/>
        <w:tab w:val="clear" w:pos="1191"/>
        <w:tab w:val="clear" w:pos="1531"/>
      </w:tabs>
      <w:ind w:left="220" w:hanging="220"/>
    </w:pPr>
    <w:rPr>
      <w:rFonts w:eastAsia="SimSun"/>
    </w:rPr>
  </w:style>
  <w:style w:type="paragraph" w:styleId="PlainText">
    <w:name w:val="Plain Text"/>
    <w:basedOn w:val="Normal"/>
    <w:link w:val="PlainTextChar"/>
    <w:uiPriority w:val="99"/>
    <w:semiHidden/>
    <w:rsid w:val="00156910"/>
    <w:pPr>
      <w:tabs>
        <w:tab w:val="clear" w:pos="850"/>
        <w:tab w:val="clear" w:pos="1191"/>
        <w:tab w:val="clear" w:pos="1531"/>
      </w:tabs>
    </w:pPr>
    <w:rPr>
      <w:rFonts w:ascii="Courier New" w:eastAsia="SimSun" w:hAnsi="Courier New" w:cs="Courier New"/>
    </w:rPr>
  </w:style>
  <w:style w:type="character" w:customStyle="1" w:styleId="PlainTextChar">
    <w:name w:val="Plain Text Char"/>
    <w:basedOn w:val="DefaultParagraphFont"/>
    <w:link w:val="PlainText"/>
    <w:uiPriority w:val="99"/>
    <w:semiHidden/>
    <w:rsid w:val="0074276B"/>
    <w:rPr>
      <w:rFonts w:ascii="Courier New" w:eastAsia="SimSun" w:hAnsi="Courier New" w:cs="Courier New"/>
    </w:rPr>
  </w:style>
  <w:style w:type="paragraph" w:styleId="BalloonText">
    <w:name w:val="Balloon Text"/>
    <w:basedOn w:val="Normal"/>
    <w:link w:val="BalloonTextChar"/>
    <w:uiPriority w:val="99"/>
    <w:semiHidden/>
    <w:rsid w:val="00156910"/>
    <w:pPr>
      <w:tabs>
        <w:tab w:val="clear" w:pos="850"/>
        <w:tab w:val="clear" w:pos="1191"/>
        <w:tab w:val="clear" w:pos="1531"/>
      </w:tabs>
    </w:pPr>
    <w:rPr>
      <w:rFonts w:eastAsia="SimSun" w:cs="Tahoma"/>
      <w:sz w:val="16"/>
      <w:szCs w:val="16"/>
    </w:rPr>
  </w:style>
  <w:style w:type="character" w:customStyle="1" w:styleId="BalloonTextChar">
    <w:name w:val="Balloon Text Char"/>
    <w:basedOn w:val="DefaultParagraphFont"/>
    <w:link w:val="BalloonText"/>
    <w:uiPriority w:val="99"/>
    <w:semiHidden/>
    <w:rsid w:val="00156910"/>
    <w:rPr>
      <w:rFonts w:ascii="Georgia" w:eastAsia="SimSun" w:hAnsi="Georgia" w:cs="Tahoma"/>
      <w:sz w:val="16"/>
      <w:szCs w:val="16"/>
    </w:rPr>
  </w:style>
  <w:style w:type="paragraph" w:styleId="MacroText">
    <w:name w:val="macro"/>
    <w:link w:val="MacroTextChar"/>
    <w:semiHidden/>
    <w:rsid w:val="00156910"/>
    <w:pPr>
      <w:tabs>
        <w:tab w:val="left" w:pos="480"/>
        <w:tab w:val="left" w:pos="960"/>
        <w:tab w:val="left" w:pos="1440"/>
        <w:tab w:val="left" w:pos="1920"/>
        <w:tab w:val="left" w:pos="2400"/>
        <w:tab w:val="left" w:pos="2880"/>
        <w:tab w:val="left" w:pos="3360"/>
        <w:tab w:val="left" w:pos="3840"/>
        <w:tab w:val="left" w:pos="4320"/>
      </w:tabs>
      <w:spacing w:after="160" w:line="259" w:lineRule="auto"/>
      <w:jc w:val="both"/>
    </w:pPr>
    <w:rPr>
      <w:rFonts w:ascii="Courier New" w:eastAsia="SimSun" w:hAnsi="Courier New" w:cs="Courier New"/>
      <w:position w:val="6"/>
      <w:lang w:val="en-GB" w:eastAsia="zh-CN"/>
    </w:rPr>
  </w:style>
  <w:style w:type="character" w:customStyle="1" w:styleId="MacroTextChar">
    <w:name w:val="Macro Text Char"/>
    <w:basedOn w:val="DefaultParagraphFont"/>
    <w:link w:val="MacroText"/>
    <w:semiHidden/>
    <w:rsid w:val="00156910"/>
    <w:rPr>
      <w:rFonts w:ascii="Courier New" w:eastAsia="SimSun" w:hAnsi="Courier New" w:cs="Courier New"/>
      <w:position w:val="6"/>
      <w:lang w:val="en-GB" w:eastAsia="zh-CN"/>
    </w:rPr>
  </w:style>
  <w:style w:type="paragraph" w:styleId="NoteHeading">
    <w:name w:val="Note Heading"/>
    <w:basedOn w:val="Normal"/>
    <w:next w:val="Normal"/>
    <w:link w:val="NoteHeadingChar"/>
    <w:semiHidden/>
    <w:rsid w:val="00156910"/>
    <w:pPr>
      <w:tabs>
        <w:tab w:val="clear" w:pos="850"/>
        <w:tab w:val="clear" w:pos="1191"/>
        <w:tab w:val="clear" w:pos="1531"/>
      </w:tabs>
    </w:pPr>
    <w:rPr>
      <w:rFonts w:eastAsia="SimSun"/>
    </w:rPr>
  </w:style>
  <w:style w:type="character" w:customStyle="1" w:styleId="NoteHeadingChar">
    <w:name w:val="Note Heading Char"/>
    <w:basedOn w:val="DefaultParagraphFont"/>
    <w:link w:val="NoteHeading"/>
    <w:semiHidden/>
    <w:rsid w:val="0074276B"/>
    <w:rPr>
      <w:rFonts w:eastAsia="SimSun"/>
    </w:rPr>
  </w:style>
  <w:style w:type="paragraph" w:styleId="TOAHeading">
    <w:name w:val="toa heading"/>
    <w:basedOn w:val="Normal"/>
    <w:next w:val="Normal"/>
    <w:semiHidden/>
    <w:rsid w:val="00156910"/>
    <w:pPr>
      <w:tabs>
        <w:tab w:val="clear" w:pos="850"/>
        <w:tab w:val="clear" w:pos="1191"/>
        <w:tab w:val="clear" w:pos="1531"/>
      </w:tabs>
      <w:spacing w:before="120"/>
    </w:pPr>
    <w:rPr>
      <w:rFonts w:ascii="Arial" w:eastAsia="SimSun" w:hAnsi="Arial" w:cs="Arial"/>
      <w:b/>
      <w:bCs/>
      <w:sz w:val="24"/>
      <w:szCs w:val="24"/>
    </w:rPr>
  </w:style>
  <w:style w:type="character" w:styleId="PageNumber">
    <w:name w:val="page number"/>
    <w:basedOn w:val="DefaultParagraphFont"/>
    <w:uiPriority w:val="99"/>
    <w:unhideWhenUsed/>
    <w:rsid w:val="007A7570"/>
    <w:rPr>
      <w:b/>
      <w:sz w:val="22"/>
      <w:szCs w:val="22"/>
    </w:rPr>
  </w:style>
  <w:style w:type="paragraph" w:styleId="Bibliography">
    <w:name w:val="Bibliography"/>
    <w:basedOn w:val="Normal"/>
    <w:next w:val="Normal"/>
    <w:uiPriority w:val="37"/>
    <w:unhideWhenUsed/>
    <w:rsid w:val="00182182"/>
    <w:pPr>
      <w:tabs>
        <w:tab w:val="clear" w:pos="850"/>
        <w:tab w:val="clear" w:pos="1191"/>
        <w:tab w:val="clear" w:pos="1531"/>
      </w:tabs>
      <w:spacing w:after="120"/>
      <w:ind w:left="284" w:hanging="284"/>
      <w:jc w:val="left"/>
    </w:pPr>
    <w:rPr>
      <w:rFonts w:eastAsia="SimSun"/>
    </w:rPr>
  </w:style>
  <w:style w:type="paragraph" w:customStyle="1" w:styleId="IntenseQuote1">
    <w:name w:val="Intense Quote1"/>
    <w:basedOn w:val="Normal"/>
    <w:next w:val="Normal"/>
    <w:uiPriority w:val="30"/>
    <w:semiHidden/>
    <w:rsid w:val="00156910"/>
    <w:pPr>
      <w:pBdr>
        <w:top w:val="single" w:sz="4" w:space="10" w:color="404040"/>
        <w:bottom w:val="single" w:sz="4" w:space="10" w:color="404040"/>
      </w:pBdr>
      <w:tabs>
        <w:tab w:val="clear" w:pos="850"/>
        <w:tab w:val="clear" w:pos="1191"/>
        <w:tab w:val="clear" w:pos="1531"/>
      </w:tabs>
      <w:spacing w:before="360" w:after="360"/>
      <w:ind w:left="864" w:right="864"/>
      <w:jc w:val="center"/>
    </w:pPr>
    <w:rPr>
      <w:rFonts w:eastAsia="SimSun"/>
      <w:i/>
      <w:iCs/>
      <w:color w:val="404040"/>
    </w:rPr>
  </w:style>
  <w:style w:type="character" w:customStyle="1" w:styleId="IntenseQuoteChar">
    <w:name w:val="Intense Quote Char"/>
    <w:basedOn w:val="DefaultParagraphFont"/>
    <w:link w:val="IntenseQuote"/>
    <w:uiPriority w:val="30"/>
    <w:semiHidden/>
    <w:rsid w:val="0074276B"/>
    <w:rPr>
      <w:i/>
      <w:iCs/>
      <w:color w:val="404040"/>
    </w:rPr>
  </w:style>
  <w:style w:type="paragraph" w:styleId="ListParagraph">
    <w:name w:val="List Paragraph"/>
    <w:basedOn w:val="Normal"/>
    <w:uiPriority w:val="34"/>
    <w:qFormat/>
    <w:rsid w:val="005F1EB2"/>
    <w:pPr>
      <w:tabs>
        <w:tab w:val="clear" w:pos="850"/>
        <w:tab w:val="clear" w:pos="1191"/>
        <w:tab w:val="clear" w:pos="1531"/>
      </w:tabs>
      <w:ind w:left="454"/>
    </w:pPr>
    <w:rPr>
      <w:rFonts w:eastAsia="SimSun"/>
    </w:rPr>
  </w:style>
  <w:style w:type="paragraph" w:styleId="NoSpacing">
    <w:name w:val="No Spacing"/>
    <w:uiPriority w:val="1"/>
    <w:qFormat/>
    <w:rsid w:val="00156910"/>
    <w:rPr>
      <w:rFonts w:eastAsia="SimSun"/>
      <w:position w:val="6"/>
    </w:rPr>
  </w:style>
  <w:style w:type="paragraph" w:styleId="Quote">
    <w:name w:val="Quote"/>
    <w:aliases w:val="Quotation (long)"/>
    <w:basedOn w:val="Normal"/>
    <w:link w:val="QuoteChar"/>
    <w:uiPriority w:val="11"/>
    <w:qFormat/>
    <w:rsid w:val="00F2114E"/>
    <w:pPr>
      <w:tabs>
        <w:tab w:val="clear" w:pos="850"/>
        <w:tab w:val="clear" w:pos="1191"/>
        <w:tab w:val="clear" w:pos="1531"/>
      </w:tabs>
      <w:spacing w:after="120"/>
      <w:ind w:left="1021" w:right="1021"/>
    </w:pPr>
    <w:rPr>
      <w:rFonts w:eastAsia="SimSun"/>
      <w:i/>
      <w:iCs/>
      <w:color w:val="404040"/>
    </w:rPr>
  </w:style>
  <w:style w:type="character" w:customStyle="1" w:styleId="QuoteChar">
    <w:name w:val="Quote Char"/>
    <w:aliases w:val="Quotation (long) Char"/>
    <w:basedOn w:val="DefaultParagraphFont"/>
    <w:link w:val="Quote"/>
    <w:uiPriority w:val="11"/>
    <w:rsid w:val="00F2114E"/>
    <w:rPr>
      <w:rFonts w:ascii="Times New Roman" w:eastAsia="SimSun" w:hAnsi="Times New Roman"/>
      <w:i/>
      <w:iCs/>
      <w:color w:val="404040"/>
      <w:sz w:val="22"/>
      <w:lang w:val="en-GB"/>
    </w:rPr>
  </w:style>
  <w:style w:type="paragraph" w:styleId="TOCHeading">
    <w:name w:val="TOC Heading"/>
    <w:basedOn w:val="Title"/>
    <w:next w:val="Normal"/>
    <w:uiPriority w:val="39"/>
    <w:rsid w:val="00077D37"/>
    <w:pPr>
      <w:tabs>
        <w:tab w:val="clear" w:pos="850"/>
        <w:tab w:val="clear" w:pos="1191"/>
        <w:tab w:val="clear" w:pos="1531"/>
      </w:tabs>
      <w:outlineLvl w:val="9"/>
    </w:pPr>
    <w:rPr>
      <w:rFonts w:eastAsia="SimHei"/>
      <w:bCs w:val="0"/>
      <w:kern w:val="0"/>
    </w:rPr>
  </w:style>
  <w:style w:type="paragraph" w:customStyle="1" w:styleId="Quotationshort">
    <w:name w:val="Quotation (short)"/>
    <w:basedOn w:val="Normal"/>
    <w:link w:val="QuotationshortChar"/>
    <w:uiPriority w:val="11"/>
    <w:qFormat/>
    <w:rsid w:val="00F2114E"/>
    <w:pPr>
      <w:tabs>
        <w:tab w:val="clear" w:pos="850"/>
        <w:tab w:val="clear" w:pos="1191"/>
        <w:tab w:val="clear" w:pos="1531"/>
      </w:tabs>
      <w:spacing w:after="120"/>
    </w:pPr>
    <w:rPr>
      <w:rFonts w:eastAsia="SimSun"/>
      <w:i/>
    </w:rPr>
  </w:style>
  <w:style w:type="character" w:customStyle="1" w:styleId="QuotationshortChar">
    <w:name w:val="Quotation (short) Char"/>
    <w:basedOn w:val="DefaultParagraphFont"/>
    <w:link w:val="Quotationshort"/>
    <w:uiPriority w:val="11"/>
    <w:rsid w:val="00F2114E"/>
    <w:rPr>
      <w:rFonts w:ascii="Times New Roman" w:eastAsia="SimSun" w:hAnsi="Times New Roman"/>
      <w:i/>
      <w:sz w:val="22"/>
      <w:lang w:val="en-GB"/>
    </w:rPr>
  </w:style>
  <w:style w:type="character" w:customStyle="1" w:styleId="Hyperlink1">
    <w:name w:val="Hyperlink1"/>
    <w:basedOn w:val="DefaultParagraphFont"/>
    <w:uiPriority w:val="99"/>
    <w:unhideWhenUsed/>
    <w:rsid w:val="00156910"/>
    <w:rPr>
      <w:color w:val="2B3ECD"/>
      <w:u w:val="single"/>
    </w:rPr>
  </w:style>
  <w:style w:type="character" w:styleId="Strong">
    <w:name w:val="Strong"/>
    <w:basedOn w:val="DefaultParagraphFont"/>
    <w:uiPriority w:val="22"/>
    <w:semiHidden/>
    <w:rsid w:val="00156910"/>
    <w:rPr>
      <w:b/>
      <w:bCs/>
      <w:color w:val="auto"/>
    </w:rPr>
  </w:style>
  <w:style w:type="character" w:styleId="CommentReference">
    <w:name w:val="annotation reference"/>
    <w:basedOn w:val="DefaultParagraphFont"/>
    <w:uiPriority w:val="99"/>
    <w:semiHidden/>
    <w:unhideWhenUsed/>
    <w:rsid w:val="00156910"/>
    <w:rPr>
      <w:sz w:val="16"/>
      <w:szCs w:val="16"/>
    </w:rPr>
  </w:style>
  <w:style w:type="character" w:styleId="Emphasis">
    <w:name w:val="Emphasis"/>
    <w:basedOn w:val="DefaultParagraphFont"/>
    <w:uiPriority w:val="20"/>
    <w:rsid w:val="00156910"/>
    <w:rPr>
      <w:i/>
      <w:iCs/>
      <w:color w:val="auto"/>
    </w:rPr>
  </w:style>
  <w:style w:type="paragraph" w:styleId="Revision">
    <w:name w:val="Revision"/>
    <w:hidden/>
    <w:uiPriority w:val="99"/>
    <w:semiHidden/>
    <w:rsid w:val="00156910"/>
    <w:pPr>
      <w:spacing w:after="160" w:line="259" w:lineRule="auto"/>
    </w:pPr>
    <w:rPr>
      <w:rFonts w:eastAsia="SimSun"/>
      <w:position w:val="6"/>
      <w:lang w:val="en-GB" w:eastAsia="zh-CN"/>
    </w:rPr>
  </w:style>
  <w:style w:type="character" w:customStyle="1" w:styleId="SubtleEmphasis1">
    <w:name w:val="Subtle Emphasis1"/>
    <w:basedOn w:val="DefaultParagraphFont"/>
    <w:uiPriority w:val="19"/>
    <w:semiHidden/>
    <w:rsid w:val="00156910"/>
    <w:rPr>
      <w:i/>
      <w:iCs/>
      <w:color w:val="404040"/>
    </w:rPr>
  </w:style>
  <w:style w:type="character" w:styleId="IntenseEmphasis">
    <w:name w:val="Intense Emphasis"/>
    <w:basedOn w:val="DefaultParagraphFont"/>
    <w:uiPriority w:val="21"/>
    <w:semiHidden/>
    <w:rsid w:val="00156910"/>
    <w:rPr>
      <w:b/>
      <w:bCs/>
      <w:i/>
      <w:iCs/>
      <w:color w:val="auto"/>
    </w:rPr>
  </w:style>
  <w:style w:type="character" w:customStyle="1" w:styleId="SubtleReference1">
    <w:name w:val="Subtle Reference1"/>
    <w:basedOn w:val="DefaultParagraphFont"/>
    <w:uiPriority w:val="31"/>
    <w:semiHidden/>
    <w:rsid w:val="00156910"/>
    <w:rPr>
      <w:smallCaps/>
      <w:color w:val="404040"/>
    </w:rPr>
  </w:style>
  <w:style w:type="character" w:customStyle="1" w:styleId="IntenseReference1">
    <w:name w:val="Intense Reference1"/>
    <w:basedOn w:val="DefaultParagraphFont"/>
    <w:uiPriority w:val="32"/>
    <w:semiHidden/>
    <w:rsid w:val="00156910"/>
    <w:rPr>
      <w:b/>
      <w:bCs/>
      <w:smallCaps/>
      <w:color w:val="404040"/>
      <w:spacing w:val="5"/>
    </w:rPr>
  </w:style>
  <w:style w:type="paragraph" w:customStyle="1" w:styleId="CancelreplaceCoverpage">
    <w:name w:val="Cancel &amp; replace (Cover page)"/>
    <w:basedOn w:val="Normal"/>
    <w:uiPriority w:val="99"/>
    <w:unhideWhenUsed/>
    <w:rsid w:val="008755FF"/>
    <w:pPr>
      <w:tabs>
        <w:tab w:val="clear" w:pos="850"/>
        <w:tab w:val="clear" w:pos="1191"/>
        <w:tab w:val="clear" w:pos="1531"/>
      </w:tabs>
      <w:autoSpaceDE w:val="0"/>
      <w:autoSpaceDN w:val="0"/>
      <w:adjustRightInd w:val="0"/>
      <w:spacing w:after="227" w:line="360" w:lineRule="atLeast"/>
      <w:jc w:val="left"/>
      <w:textAlignment w:val="center"/>
    </w:pPr>
    <w:rPr>
      <w:rFonts w:eastAsia="SimSun" w:cs="Bernini Sans Light"/>
      <w:b/>
      <w:position w:val="6"/>
      <w:szCs w:val="28"/>
      <w:lang w:val="fr-FR"/>
    </w:rPr>
  </w:style>
  <w:style w:type="character" w:customStyle="1" w:styleId="HeaderTitle">
    <w:name w:val="Header Title"/>
    <w:uiPriority w:val="99"/>
    <w:unhideWhenUsed/>
    <w:rsid w:val="00653CBE"/>
    <w:rPr>
      <w:caps/>
      <w:smallCaps w:val="0"/>
      <w:sz w:val="18"/>
    </w:rPr>
  </w:style>
  <w:style w:type="paragraph" w:customStyle="1" w:styleId="Para">
    <w:name w:val="Para #"/>
    <w:basedOn w:val="Normal"/>
    <w:link w:val="ParaChar"/>
    <w:uiPriority w:val="4"/>
    <w:qFormat/>
    <w:rsid w:val="00F2114E"/>
    <w:pPr>
      <w:numPr>
        <w:numId w:val="12"/>
      </w:numPr>
      <w:tabs>
        <w:tab w:val="clear" w:pos="850"/>
        <w:tab w:val="clear" w:pos="1191"/>
        <w:tab w:val="clear" w:pos="1531"/>
        <w:tab w:val="left" w:pos="1361"/>
      </w:tabs>
      <w:spacing w:before="120" w:after="120"/>
      <w:ind w:right="680"/>
    </w:pPr>
    <w:rPr>
      <w:rFonts w:eastAsia="SimSun"/>
    </w:rPr>
  </w:style>
  <w:style w:type="character" w:customStyle="1" w:styleId="ParaChar">
    <w:name w:val="Para # Char"/>
    <w:basedOn w:val="DefaultParagraphFont"/>
    <w:link w:val="Para"/>
    <w:uiPriority w:val="4"/>
    <w:rsid w:val="00F2114E"/>
    <w:rPr>
      <w:rFonts w:ascii="Times New Roman" w:eastAsia="SimSun" w:hAnsi="Times New Roman"/>
      <w:sz w:val="22"/>
      <w:lang w:val="en-GB"/>
    </w:rPr>
  </w:style>
  <w:style w:type="paragraph" w:customStyle="1" w:styleId="Para1">
    <w:name w:val="Para #.#"/>
    <w:basedOn w:val="Para"/>
    <w:uiPriority w:val="5"/>
    <w:rsid w:val="00184759"/>
    <w:pPr>
      <w:numPr>
        <w:numId w:val="0"/>
      </w:numPr>
    </w:pPr>
    <w:rPr>
      <w:rFonts w:eastAsia="Caecilia LT Std Roman"/>
      <w:lang w:val="fr-FR"/>
    </w:rPr>
  </w:style>
  <w:style w:type="character" w:customStyle="1" w:styleId="HeaderCoteChar">
    <w:name w:val="Header Cote (Char)"/>
    <w:basedOn w:val="DefaultParagraphFont"/>
    <w:uiPriority w:val="1"/>
    <w:unhideWhenUsed/>
    <w:rsid w:val="009E161D"/>
    <w:rPr>
      <w:rFonts w:ascii="Times New Roman" w:hAnsi="Times New Roman"/>
      <w:b w:val="0"/>
      <w:spacing w:val="0"/>
      <w:sz w:val="22"/>
    </w:rPr>
  </w:style>
  <w:style w:type="numbering" w:customStyle="1" w:styleId="1Paragraphlist">
    <w:name w:val="1. Paragraph list"/>
    <w:uiPriority w:val="99"/>
    <w:rsid w:val="00156910"/>
    <w:pPr>
      <w:numPr>
        <w:numId w:val="11"/>
      </w:numPr>
    </w:pPr>
  </w:style>
  <w:style w:type="paragraph" w:customStyle="1" w:styleId="CoverTitle">
    <w:name w:val="CoverTitle"/>
    <w:basedOn w:val="CoverNormal"/>
    <w:link w:val="CoverTitleChar"/>
    <w:unhideWhenUsed/>
    <w:rsid w:val="003974D4"/>
    <w:pPr>
      <w:spacing w:after="240"/>
    </w:pPr>
    <w:rPr>
      <w:b/>
      <w:sz w:val="24"/>
    </w:rPr>
  </w:style>
  <w:style w:type="paragraph" w:customStyle="1" w:styleId="CoverSubTitle">
    <w:name w:val="CoverSubTitle"/>
    <w:basedOn w:val="CoverNormal"/>
    <w:link w:val="CoverSubTitleChar"/>
    <w:unhideWhenUsed/>
    <w:rsid w:val="00AC2493"/>
    <w:rPr>
      <w:b/>
    </w:rPr>
  </w:style>
  <w:style w:type="character" w:customStyle="1" w:styleId="CoverTitleChar">
    <w:name w:val="CoverTitle Char"/>
    <w:basedOn w:val="DefaultParagraphFont"/>
    <w:link w:val="CoverTitle"/>
    <w:rsid w:val="003974D4"/>
    <w:rPr>
      <w:rFonts w:ascii="Times New Roman" w:eastAsia="SimSun" w:hAnsi="Times New Roman"/>
      <w:b/>
      <w:sz w:val="24"/>
      <w:lang w:val="en-GB"/>
    </w:rPr>
  </w:style>
  <w:style w:type="paragraph" w:customStyle="1" w:styleId="CoverCancel">
    <w:name w:val="CoverCancel"/>
    <w:basedOn w:val="CoverNormal"/>
    <w:link w:val="CoverCancelChar"/>
    <w:unhideWhenUsed/>
    <w:rsid w:val="008755FF"/>
    <w:pPr>
      <w:spacing w:before="240" w:after="120" w:line="312" w:lineRule="auto"/>
      <w:jc w:val="center"/>
    </w:pPr>
    <w:rPr>
      <w:b/>
      <w:szCs w:val="24"/>
    </w:rPr>
  </w:style>
  <w:style w:type="character" w:customStyle="1" w:styleId="CoverSubTitleChar">
    <w:name w:val="CoverSubTitle Char"/>
    <w:basedOn w:val="DefaultParagraphFont"/>
    <w:link w:val="CoverSubTitle"/>
    <w:rsid w:val="00AC2493"/>
    <w:rPr>
      <w:rFonts w:ascii="Times New Roman" w:eastAsia="SimSun" w:hAnsi="Times New Roman"/>
      <w:b/>
      <w:sz w:val="22"/>
      <w:lang w:val="en-GB"/>
    </w:rPr>
  </w:style>
  <w:style w:type="character" w:customStyle="1" w:styleId="CoverCancelChar">
    <w:name w:val="CoverCancel Char"/>
    <w:basedOn w:val="DefaultParagraphFont"/>
    <w:link w:val="CoverCancel"/>
    <w:rsid w:val="008755FF"/>
    <w:rPr>
      <w:rFonts w:ascii="Times New Roman" w:eastAsia="SimSun" w:hAnsi="Times New Roman"/>
      <w:b/>
      <w:sz w:val="22"/>
      <w:szCs w:val="24"/>
      <w:lang w:val="en-GB"/>
    </w:rPr>
  </w:style>
  <w:style w:type="character" w:customStyle="1" w:styleId="CoverCote">
    <w:name w:val="CoverCote"/>
    <w:basedOn w:val="DefaultParagraphFont"/>
    <w:uiPriority w:val="1"/>
    <w:unhideWhenUsed/>
    <w:rsid w:val="003076F3"/>
    <w:rPr>
      <w:rFonts w:ascii="Times New Roman" w:hAnsi="Times New Roman"/>
      <w:b/>
      <w:i w:val="0"/>
      <w:caps/>
      <w:smallCaps w:val="0"/>
      <w:color w:val="auto"/>
      <w:sz w:val="22"/>
      <w:u w:val="none"/>
      <w:bdr w:val="none" w:sz="0" w:space="0" w:color="auto"/>
      <w:shd w:val="clear" w:color="auto" w:fill="auto"/>
    </w:rPr>
  </w:style>
  <w:style w:type="paragraph" w:customStyle="1" w:styleId="CoverNormal">
    <w:name w:val="CoverNormal"/>
    <w:basedOn w:val="Normal"/>
    <w:link w:val="CoverNormalChar"/>
    <w:unhideWhenUsed/>
    <w:rsid w:val="00B60A4D"/>
    <w:pPr>
      <w:tabs>
        <w:tab w:val="clear" w:pos="850"/>
        <w:tab w:val="clear" w:pos="1191"/>
        <w:tab w:val="clear" w:pos="1531"/>
      </w:tabs>
      <w:jc w:val="left"/>
    </w:pPr>
    <w:rPr>
      <w:rFonts w:eastAsia="SimSun"/>
    </w:rPr>
  </w:style>
  <w:style w:type="character" w:customStyle="1" w:styleId="CoverNormalChar">
    <w:name w:val="CoverNormal Char"/>
    <w:basedOn w:val="DefaultParagraphFont"/>
    <w:link w:val="CoverNormal"/>
    <w:rsid w:val="00B60A4D"/>
    <w:rPr>
      <w:rFonts w:ascii="Times New Roman" w:eastAsia="SimSun" w:hAnsi="Times New Roman"/>
      <w:sz w:val="22"/>
      <w:lang w:val="en-GB"/>
    </w:rPr>
  </w:style>
  <w:style w:type="table" w:customStyle="1" w:styleId="TableGrid1">
    <w:name w:val="Table Grid1"/>
    <w:basedOn w:val="TableNormal"/>
    <w:next w:val="TableGrid"/>
    <w:uiPriority w:val="59"/>
    <w:rsid w:val="00156910"/>
    <w:rPr>
      <w:position w:val="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irectorate">
    <w:name w:val="CoverDirectorate"/>
    <w:basedOn w:val="CoverNormal"/>
    <w:link w:val="CoverDirectorateChar"/>
    <w:unhideWhenUsed/>
    <w:rsid w:val="00BE21A6"/>
    <w:rPr>
      <w:b/>
      <w:color w:val="000000" w:themeColor="text1"/>
    </w:rPr>
  </w:style>
  <w:style w:type="character" w:customStyle="1" w:styleId="CoverDirectorateChar">
    <w:name w:val="CoverDirectorate Char"/>
    <w:basedOn w:val="CoverNormalChar"/>
    <w:link w:val="CoverDirectorate"/>
    <w:rsid w:val="00BE21A6"/>
    <w:rPr>
      <w:rFonts w:ascii="Times New Roman" w:eastAsia="SimSun" w:hAnsi="Times New Roman"/>
      <w:b/>
      <w:color w:val="000000" w:themeColor="text1"/>
      <w:sz w:val="22"/>
      <w:lang w:val="en-GB"/>
    </w:rPr>
  </w:style>
  <w:style w:type="paragraph" w:customStyle="1" w:styleId="CoverAbstract">
    <w:name w:val="CoverAbstract"/>
    <w:basedOn w:val="CoverNormal"/>
    <w:link w:val="CoverAbstractChar"/>
    <w:unhideWhenUsed/>
    <w:rsid w:val="003974D4"/>
    <w:pPr>
      <w:spacing w:after="120"/>
      <w:jc w:val="both"/>
    </w:pPr>
    <w:rPr>
      <w:rFonts w:cs="Arial"/>
      <w:szCs w:val="24"/>
    </w:rPr>
  </w:style>
  <w:style w:type="paragraph" w:customStyle="1" w:styleId="CoverDisclaimer">
    <w:name w:val="CoverDisclaimer"/>
    <w:basedOn w:val="Normal"/>
    <w:unhideWhenUsed/>
    <w:rsid w:val="00653CBE"/>
    <w:pPr>
      <w:spacing w:line="312" w:lineRule="auto"/>
    </w:pPr>
    <w:rPr>
      <w:rFonts w:eastAsia="SimSun"/>
      <w:b/>
      <w:i/>
      <w:color w:val="000000" w:themeColor="text1"/>
      <w:sz w:val="16"/>
      <w:szCs w:val="16"/>
    </w:rPr>
  </w:style>
  <w:style w:type="character" w:customStyle="1" w:styleId="CoverAbstractChar">
    <w:name w:val="CoverAbstract Char"/>
    <w:basedOn w:val="DefaultParagraphFont"/>
    <w:link w:val="CoverAbstract"/>
    <w:rsid w:val="003974D4"/>
    <w:rPr>
      <w:rFonts w:ascii="Times New Roman" w:eastAsia="SimSun" w:hAnsi="Times New Roman" w:cs="Arial"/>
      <w:sz w:val="22"/>
      <w:szCs w:val="24"/>
      <w:lang w:val="en-GB"/>
    </w:rPr>
  </w:style>
  <w:style w:type="paragraph" w:customStyle="1" w:styleId="CoverJobTicket">
    <w:name w:val="CoverJobTicket"/>
    <w:basedOn w:val="CoverNormal"/>
    <w:unhideWhenUsed/>
    <w:rsid w:val="001B0BC0"/>
    <w:rPr>
      <w:b/>
    </w:rPr>
  </w:style>
  <w:style w:type="paragraph" w:customStyle="1" w:styleId="CoverDate">
    <w:name w:val="CoverDate"/>
    <w:basedOn w:val="CoverNormal"/>
    <w:link w:val="CoverDateChar"/>
    <w:unhideWhenUsed/>
    <w:rsid w:val="003974D4"/>
    <w:pPr>
      <w:widowControl w:val="0"/>
      <w:autoSpaceDE w:val="0"/>
      <w:autoSpaceDN w:val="0"/>
      <w:snapToGrid w:val="0"/>
      <w:spacing w:before="40" w:after="40"/>
      <w:jc w:val="right"/>
    </w:pPr>
    <w:rPr>
      <w:b/>
      <w:color w:val="FFFFFF" w:themeColor="background1"/>
      <w:sz w:val="18"/>
    </w:rPr>
  </w:style>
  <w:style w:type="character" w:styleId="PlaceholderText">
    <w:name w:val="Placeholder Text"/>
    <w:basedOn w:val="DefaultParagraphFont"/>
    <w:uiPriority w:val="99"/>
    <w:semiHidden/>
    <w:rsid w:val="00156910"/>
    <w:rPr>
      <w:color w:val="808080"/>
    </w:rPr>
  </w:style>
  <w:style w:type="table" w:customStyle="1" w:styleId="TableGridLight1">
    <w:name w:val="Table Grid Light1"/>
    <w:basedOn w:val="TableNormal"/>
    <w:next w:val="TableGridLight2"/>
    <w:uiPriority w:val="40"/>
    <w:rsid w:val="00156910"/>
    <w:rPr>
      <w:position w:val="6"/>
      <w:lang w:val="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ara0">
    <w:name w:val="Para"/>
    <w:basedOn w:val="Normal"/>
    <w:link w:val="ParaChar0"/>
    <w:uiPriority w:val="3"/>
    <w:qFormat/>
    <w:rsid w:val="00F2114E"/>
    <w:pPr>
      <w:tabs>
        <w:tab w:val="clear" w:pos="850"/>
        <w:tab w:val="clear" w:pos="1191"/>
        <w:tab w:val="clear" w:pos="1531"/>
      </w:tabs>
      <w:spacing w:before="120" w:after="120"/>
      <w:ind w:left="680" w:right="680"/>
    </w:pPr>
    <w:rPr>
      <w:rFonts w:eastAsia="SimSun"/>
    </w:rPr>
  </w:style>
  <w:style w:type="character" w:styleId="EndnoteReference">
    <w:name w:val="endnote reference"/>
    <w:basedOn w:val="DefaultParagraphFont"/>
    <w:uiPriority w:val="99"/>
    <w:unhideWhenUsed/>
    <w:rsid w:val="0010021A"/>
    <w:rPr>
      <w:rFonts w:ascii="Times New Roman" w:hAnsi="Times New Roman"/>
      <w:i w:val="0"/>
      <w:position w:val="0"/>
      <w:sz w:val="22"/>
      <w:vertAlign w:val="superscript"/>
    </w:rPr>
  </w:style>
  <w:style w:type="table" w:customStyle="1" w:styleId="PlainTable51">
    <w:name w:val="Plain Table 51"/>
    <w:basedOn w:val="TableNormal"/>
    <w:next w:val="PlainTable52"/>
    <w:uiPriority w:val="45"/>
    <w:rsid w:val="00156910"/>
    <w:rPr>
      <w:rFonts w:eastAsia="SimSun"/>
      <w:position w:val="6"/>
      <w:sz w:val="16"/>
    </w:rPr>
    <w:tblPr>
      <w:tblStyleRowBandSize w:val="1"/>
      <w:tblStyleColBandSize w:val="1"/>
    </w:tblPr>
    <w:tblStylePr w:type="firstRow">
      <w:rPr>
        <w:rFonts w:ascii="Bernini Sans Light" w:eastAsia="SimHei" w:hAnsi="Bernini Sans Light" w:cs="Times New Roman"/>
        <w:i/>
        <w:iCs/>
        <w:sz w:val="26"/>
      </w:rPr>
      <w:tblPr/>
      <w:tcPr>
        <w:tcBorders>
          <w:bottom w:val="single" w:sz="4" w:space="0" w:color="7F7F7F"/>
        </w:tcBorders>
        <w:shd w:val="clear" w:color="auto" w:fill="FFFFFF"/>
      </w:tcPr>
    </w:tblStylePr>
    <w:tblStylePr w:type="lastRow">
      <w:rPr>
        <w:rFonts w:ascii="Bernini Sans Light" w:eastAsia="SimHei" w:hAnsi="Bernini Sans Light" w:cs="Times New Roman"/>
        <w:i/>
        <w:iCs/>
        <w:sz w:val="26"/>
      </w:rPr>
      <w:tblPr/>
      <w:tcPr>
        <w:tcBorders>
          <w:top w:val="single" w:sz="4" w:space="0" w:color="7F7F7F"/>
        </w:tcBorders>
        <w:shd w:val="clear" w:color="auto" w:fill="FFFFFF"/>
      </w:tcPr>
    </w:tblStylePr>
    <w:tblStylePr w:type="firstCol">
      <w:pPr>
        <w:jc w:val="right"/>
      </w:pPr>
      <w:rPr>
        <w:rFonts w:ascii="Bernini Sans Light" w:eastAsia="SimHei" w:hAnsi="Bernini Sans Light" w:cs="Times New Roman"/>
        <w:i/>
        <w:iCs/>
        <w:sz w:val="26"/>
      </w:rPr>
      <w:tblPr/>
      <w:tcPr>
        <w:tcBorders>
          <w:right w:val="single" w:sz="4" w:space="0" w:color="7F7F7F"/>
        </w:tcBorders>
        <w:shd w:val="clear" w:color="auto" w:fill="FFFFFF"/>
      </w:tcPr>
    </w:tblStylePr>
    <w:tblStylePr w:type="lastCol">
      <w:rPr>
        <w:rFonts w:ascii="Bernini Sans Light" w:eastAsia="SimHei" w:hAnsi="Bernini Sans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1">
    <w:name w:val="Grid Table 1 Light - Accent 61"/>
    <w:basedOn w:val="TableNormal"/>
    <w:next w:val="GridTable1Light-Accent6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Row">
    <w:name w:val="Table Row"/>
    <w:basedOn w:val="TableCell"/>
    <w:uiPriority w:val="10"/>
    <w:qFormat/>
    <w:rsid w:val="00F2114E"/>
    <w:pPr>
      <w:jc w:val="left"/>
    </w:pPr>
  </w:style>
  <w:style w:type="table" w:customStyle="1" w:styleId="GridTable1Light-Accent51">
    <w:name w:val="Grid Table 1 Light - Accent 51"/>
    <w:basedOn w:val="TableNormal"/>
    <w:next w:val="GridTable1Light-Accent5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customStyle="1" w:styleId="PlainTable31">
    <w:name w:val="Plain Table 31"/>
    <w:basedOn w:val="TableNormal"/>
    <w:next w:val="PlainTable32"/>
    <w:uiPriority w:val="43"/>
    <w:rsid w:val="00156910"/>
    <w:rPr>
      <w:rFonts w:eastAsia="SimSun"/>
      <w:position w:val="6"/>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4-Accent41">
    <w:name w:val="List Table 4 - Accent 41"/>
    <w:basedOn w:val="TableNormal"/>
    <w:next w:val="ListTable4-Accent4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1Light-Accent41">
    <w:name w:val="Grid Table 1 Light - Accent 41"/>
    <w:basedOn w:val="TableNormal"/>
    <w:next w:val="GridTable1Light-Accent42"/>
    <w:uiPriority w:val="46"/>
    <w:rsid w:val="00156910"/>
    <w:rPr>
      <w:rFonts w:eastAsia="SimSun"/>
      <w:position w:val="6"/>
    </w:rPr>
    <w:tblPr>
      <w:tblStyleRowBandSize w:val="1"/>
      <w:tblStyleColBandSize w:val="1"/>
      <w:tblBorders>
        <w:top w:val="single" w:sz="4" w:space="0" w:color="CBCBCB"/>
        <w:left w:val="single" w:sz="4" w:space="0" w:color="CBCBCB"/>
        <w:bottom w:val="single" w:sz="4" w:space="0" w:color="CBCBCB"/>
        <w:right w:val="single" w:sz="4" w:space="0" w:color="CBCBCB"/>
        <w:insideH w:val="single" w:sz="4" w:space="0" w:color="CBCBCB"/>
        <w:insideV w:val="single" w:sz="4" w:space="0" w:color="CBCBCB"/>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paragraph" w:customStyle="1" w:styleId="TableColumn">
    <w:name w:val="Table Column"/>
    <w:basedOn w:val="TableRow"/>
    <w:uiPriority w:val="10"/>
    <w:qFormat/>
    <w:rsid w:val="00F2114E"/>
    <w:pPr>
      <w:jc w:val="center"/>
    </w:pPr>
  </w:style>
  <w:style w:type="table" w:customStyle="1" w:styleId="ListTable3-Accent31">
    <w:name w:val="List Table 3 - Accent 31"/>
    <w:basedOn w:val="TableNormal"/>
    <w:next w:val="ListTable3-Accent32"/>
    <w:uiPriority w:val="48"/>
    <w:rsid w:val="00156910"/>
    <w:rPr>
      <w:rFonts w:eastAsia="SimSun"/>
      <w:position w:val="6"/>
    </w:rPr>
    <w:tblPr>
      <w:tblStyleRowBandSize w:val="1"/>
      <w:tblStyleColBandSize w:val="1"/>
      <w:tblBorders>
        <w:top w:val="single" w:sz="4" w:space="0" w:color="BFBFBF"/>
        <w:left w:val="single" w:sz="4" w:space="0" w:color="BFBFBF"/>
        <w:bottom w:val="single" w:sz="4" w:space="0" w:color="BFBFBF"/>
        <w:right w:val="single" w:sz="4" w:space="0" w:color="BFBFBF"/>
      </w:tblBorders>
    </w:tblPr>
    <w:tblStylePr w:type="firstRow">
      <w:rPr>
        <w:b/>
        <w:bCs/>
        <w:color w:val="FFFFFF"/>
      </w:rPr>
      <w:tblPr/>
      <w:tcPr>
        <w:shd w:val="clear" w:color="auto" w:fill="BFBFBF"/>
      </w:tcPr>
    </w:tblStylePr>
    <w:tblStylePr w:type="lastRow">
      <w:rPr>
        <w:b/>
        <w:bCs/>
      </w:rPr>
      <w:tblPr/>
      <w:tcPr>
        <w:tcBorders>
          <w:top w:val="double" w:sz="4" w:space="0" w:color="BFBFB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FBF"/>
          <w:right w:val="single" w:sz="4" w:space="0" w:color="BFBFBF"/>
        </w:tcBorders>
      </w:tcPr>
    </w:tblStylePr>
    <w:tblStylePr w:type="band1Horz">
      <w:tblPr/>
      <w:tcPr>
        <w:tcBorders>
          <w:top w:val="single" w:sz="4" w:space="0" w:color="BFBFBF"/>
          <w:bottom w:val="single" w:sz="4" w:space="0" w:color="BFBFB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left w:val="nil"/>
        </w:tcBorders>
      </w:tcPr>
    </w:tblStylePr>
    <w:tblStylePr w:type="swCell">
      <w:tblPr/>
      <w:tcPr>
        <w:tcBorders>
          <w:top w:val="double" w:sz="4" w:space="0" w:color="BFBFBF"/>
          <w:right w:val="nil"/>
        </w:tcBorders>
      </w:tcPr>
    </w:tblStylePr>
  </w:style>
  <w:style w:type="table" w:customStyle="1" w:styleId="ListTable4-Accent51">
    <w:name w:val="List Table 4 - Accent 51"/>
    <w:basedOn w:val="TableNormal"/>
    <w:next w:val="ListTable4-Accent52"/>
    <w:uiPriority w:val="49"/>
    <w:rsid w:val="00156910"/>
    <w:rPr>
      <w:rFonts w:eastAsia="SimSun"/>
      <w:position w:val="6"/>
    </w:rPr>
    <w:tblPr>
      <w:tblStyleRowBandSize w:val="1"/>
      <w:tblStyleColBandSize w:val="1"/>
      <w:tblBorders>
        <w:top w:val="single" w:sz="4" w:space="0" w:color="B2B2B2"/>
        <w:left w:val="single" w:sz="4" w:space="0" w:color="B2B2B2"/>
        <w:bottom w:val="single" w:sz="4" w:space="0" w:color="B2B2B2"/>
        <w:right w:val="single" w:sz="4" w:space="0" w:color="B2B2B2"/>
        <w:insideH w:val="single" w:sz="4" w:space="0" w:color="B2B2B2"/>
      </w:tblBorders>
    </w:tblPr>
    <w:tblStylePr w:type="firstRow">
      <w:rPr>
        <w:b/>
        <w:bCs/>
        <w:color w:val="FFFFFF"/>
      </w:rPr>
      <w:tblPr/>
      <w:tcPr>
        <w:tcBorders>
          <w:top w:val="single" w:sz="4" w:space="0" w:color="7F7F7F"/>
          <w:left w:val="single" w:sz="4" w:space="0" w:color="7F7F7F"/>
          <w:bottom w:val="single" w:sz="4" w:space="0" w:color="7F7F7F"/>
          <w:right w:val="single" w:sz="4" w:space="0" w:color="7F7F7F"/>
          <w:insideH w:val="nil"/>
        </w:tcBorders>
        <w:shd w:val="clear" w:color="auto" w:fill="7F7F7F"/>
      </w:tcPr>
    </w:tblStylePr>
    <w:tblStylePr w:type="lastRow">
      <w:rPr>
        <w:b/>
        <w:bCs/>
      </w:rPr>
      <w:tblPr/>
      <w:tcPr>
        <w:tcBorders>
          <w:top w:val="double" w:sz="4" w:space="0" w:color="B2B2B2"/>
        </w:tcBorders>
      </w:tcPr>
    </w:tblStylePr>
    <w:tblStylePr w:type="firstCol">
      <w:rPr>
        <w:b/>
        <w:bCs/>
        <w:color w:val="auto"/>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CoverClassification">
    <w:name w:val="CoverClassification"/>
    <w:basedOn w:val="CoverNormal"/>
    <w:unhideWhenUsed/>
    <w:rsid w:val="003974D4"/>
    <w:pPr>
      <w:autoSpaceDE w:val="0"/>
      <w:autoSpaceDN w:val="0"/>
      <w:adjustRightInd w:val="0"/>
      <w:textAlignment w:val="center"/>
    </w:pPr>
    <w:rPr>
      <w:rFonts w:cs="Bernini Sans"/>
      <w:b/>
      <w:bCs/>
      <w:color w:val="000000"/>
      <w:szCs w:val="22"/>
    </w:rPr>
  </w:style>
  <w:style w:type="paragraph" w:customStyle="1" w:styleId="CoverLanguage">
    <w:name w:val="CoverLanguage"/>
    <w:basedOn w:val="CoverNormal"/>
    <w:unhideWhenUsed/>
    <w:rsid w:val="003974D4"/>
    <w:pPr>
      <w:jc w:val="right"/>
    </w:pPr>
    <w:rPr>
      <w:b/>
    </w:rPr>
  </w:style>
  <w:style w:type="table" w:customStyle="1" w:styleId="ListTable4-Accent31">
    <w:name w:val="List Table 4 - Accent 31"/>
    <w:basedOn w:val="TableNormal"/>
    <w:next w:val="ListTable4-Accent32"/>
    <w:uiPriority w:val="49"/>
    <w:rsid w:val="00156910"/>
    <w:rPr>
      <w:rFonts w:eastAsia="SimSun"/>
      <w:position w:val="6"/>
    </w:rPr>
    <w:tblPr>
      <w:tblStyleRowBandSize w:val="1"/>
      <w:tblStyleColBandSize w:val="1"/>
      <w:tblBorders>
        <w:top w:val="single" w:sz="4" w:space="0" w:color="D8D8D8"/>
        <w:left w:val="single" w:sz="4" w:space="0" w:color="D8D8D8"/>
        <w:bottom w:val="single" w:sz="4" w:space="0" w:color="D8D8D8"/>
        <w:right w:val="single" w:sz="4" w:space="0" w:color="D8D8D8"/>
        <w:insideH w:val="single" w:sz="4" w:space="0" w:color="D8D8D8"/>
      </w:tblBorders>
    </w:tblPr>
    <w:tblStylePr w:type="firstRow">
      <w:rPr>
        <w:b/>
        <w:bCs/>
        <w:color w:val="FFFFFF"/>
      </w:rPr>
      <w:tblPr/>
      <w:tcPr>
        <w:tcBorders>
          <w:top w:val="single" w:sz="4" w:space="0" w:color="BFBFBF"/>
          <w:left w:val="single" w:sz="4" w:space="0" w:color="BFBFBF"/>
          <w:bottom w:val="single" w:sz="4" w:space="0" w:color="BFBFBF"/>
          <w:right w:val="single" w:sz="4" w:space="0" w:color="BFBFBF"/>
          <w:insideH w:val="nil"/>
        </w:tcBorders>
        <w:shd w:val="clear" w:color="auto" w:fill="BFBFBF"/>
      </w:tcPr>
    </w:tblStylePr>
    <w:tblStylePr w:type="lastRow">
      <w:rPr>
        <w:b/>
        <w:bCs/>
      </w:rPr>
      <w:tblPr/>
      <w:tcPr>
        <w:tcBorders>
          <w:top w:val="double" w:sz="4" w:space="0" w:color="D8D8D8"/>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next w:val="GridTable1Light-Accent32"/>
    <w:uiPriority w:val="46"/>
    <w:rsid w:val="00156910"/>
    <w:rPr>
      <w:rFonts w:eastAsia="SimSun"/>
      <w:position w:val="6"/>
    </w:rPr>
    <w:tblPr>
      <w:tblStyleRowBandSize w:val="1"/>
      <w:tblStyleColBandSize w:val="1"/>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Pr>
    <w:tblStylePr w:type="firstRow">
      <w:rPr>
        <w:b/>
        <w:bCs/>
      </w:rPr>
      <w:tblPr/>
      <w:tcPr>
        <w:tcBorders>
          <w:bottom w:val="single" w:sz="12" w:space="0" w:color="D8D8D8"/>
        </w:tcBorders>
      </w:tcPr>
    </w:tblStylePr>
    <w:tblStylePr w:type="lastRow">
      <w:rPr>
        <w:b/>
        <w:bCs/>
      </w:rPr>
      <w:tblPr/>
      <w:tcPr>
        <w:tcBorders>
          <w:top w:val="double" w:sz="2" w:space="0" w:color="D8D8D8"/>
        </w:tcBorders>
      </w:tcPr>
    </w:tblStylePr>
    <w:tblStylePr w:type="firstCol">
      <w:rPr>
        <w:b/>
        <w:bCs/>
      </w:rPr>
    </w:tblStylePr>
    <w:tblStylePr w:type="lastCol">
      <w:rPr>
        <w:b/>
        <w:bCs/>
      </w:rPr>
    </w:tblStylePr>
  </w:style>
  <w:style w:type="table" w:customStyle="1" w:styleId="ListTable1Light-Accent61">
    <w:name w:val="List Table 1 Light - Accent 61"/>
    <w:basedOn w:val="TableNormal"/>
    <w:next w:val="ListTable1Light-Accent62"/>
    <w:uiPriority w:val="46"/>
    <w:rsid w:val="00156910"/>
    <w:rPr>
      <w:rFonts w:eastAsia="SimSun"/>
      <w:position w:val="6"/>
    </w:rPr>
    <w:tblPr>
      <w:tblStyleRowBandSize w:val="1"/>
      <w:tblStyleColBandSize w:val="1"/>
    </w:tblPr>
    <w:tblStylePr w:type="firstRow">
      <w:rPr>
        <w:b/>
        <w:bCs/>
      </w:rPr>
      <w:tblPr/>
      <w:tcPr>
        <w:tcBorders>
          <w:bottom w:val="single" w:sz="4" w:space="0" w:color="B2B2B2"/>
        </w:tcBorders>
      </w:tcPr>
    </w:tblStylePr>
    <w:tblStylePr w:type="lastRow">
      <w:rPr>
        <w:b/>
        <w:bCs/>
      </w:rPr>
      <w:tblPr/>
      <w:tcPr>
        <w:tcBorders>
          <w:top w:val="single" w:sz="4" w:space="0" w:color="B2B2B2"/>
        </w:tcBorders>
      </w:tc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table" w:customStyle="1" w:styleId="GridTable6Colorful1">
    <w:name w:val="Grid Table 6 Colorful1"/>
    <w:basedOn w:val="TableNormal"/>
    <w:next w:val="GridTable6Colorful2"/>
    <w:uiPriority w:val="51"/>
    <w:rsid w:val="00156910"/>
    <w:rPr>
      <w:rFonts w:eastAsia="SimSun"/>
      <w:color w:val="000000"/>
      <w:position w:val="6"/>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51">
    <w:name w:val="List Table 2 - Accent 51"/>
    <w:basedOn w:val="TableNormal"/>
    <w:next w:val="ListTable2-Accent52"/>
    <w:uiPriority w:val="47"/>
    <w:rsid w:val="00156910"/>
    <w:rPr>
      <w:rFonts w:eastAsia="SimSun"/>
      <w:position w:val="6"/>
    </w:rPr>
    <w:tblPr>
      <w:tblStyleRowBandSize w:val="1"/>
      <w:tblStyleColBandSize w:val="1"/>
      <w:tblBorders>
        <w:top w:val="single" w:sz="4" w:space="0" w:color="B2B2B2"/>
        <w:bottom w:val="single" w:sz="4" w:space="0" w:color="B2B2B2"/>
        <w:insideH w:val="single" w:sz="4" w:space="0" w:color="B2B2B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cPr>
    </w:tblStylePr>
    <w:tblStylePr w:type="band1Horz">
      <w:tblPr/>
      <w:tcPr>
        <w:shd w:val="clear" w:color="auto" w:fill="E5E5E5"/>
      </w:tcPr>
    </w:tblStylePr>
  </w:style>
  <w:style w:type="paragraph" w:customStyle="1" w:styleId="HeaderOdd">
    <w:name w:val="Header Odd"/>
    <w:basedOn w:val="Normal"/>
    <w:next w:val="Normal"/>
    <w:unhideWhenUsed/>
    <w:rsid w:val="00A552AE"/>
    <w:pPr>
      <w:pBdr>
        <w:bottom w:val="single" w:sz="4" w:space="0" w:color="auto"/>
      </w:pBdr>
      <w:tabs>
        <w:tab w:val="clear" w:pos="850"/>
        <w:tab w:val="clear" w:pos="1191"/>
        <w:tab w:val="clear" w:pos="1531"/>
      </w:tabs>
      <w:autoSpaceDE w:val="0"/>
      <w:autoSpaceDN w:val="0"/>
      <w:adjustRightInd w:val="0"/>
      <w:jc w:val="right"/>
      <w:textAlignment w:val="center"/>
    </w:pPr>
    <w:rPr>
      <w:rFonts w:eastAsia="SimSun" w:cs="Bernini Sans"/>
      <w:bCs/>
      <w:sz w:val="2"/>
      <w:lang w:val="fr-FR"/>
    </w:rPr>
  </w:style>
  <w:style w:type="paragraph" w:customStyle="1" w:styleId="HeaderEven">
    <w:name w:val="Header Even"/>
    <w:basedOn w:val="HeaderOdd"/>
    <w:unhideWhenUsed/>
    <w:rsid w:val="00A552AE"/>
    <w:pPr>
      <w:jc w:val="left"/>
    </w:pPr>
    <w:rPr>
      <w:bCs w:val="0"/>
    </w:rPr>
  </w:style>
  <w:style w:type="paragraph" w:styleId="IntenseQuote">
    <w:name w:val="Intense Quote"/>
    <w:basedOn w:val="Normal"/>
    <w:next w:val="Normal"/>
    <w:link w:val="IntenseQuoteChar"/>
    <w:uiPriority w:val="30"/>
    <w:semiHidden/>
    <w:rsid w:val="00156910"/>
    <w:pPr>
      <w:pBdr>
        <w:top w:val="single" w:sz="4" w:space="10" w:color="4F81BD" w:themeColor="accent1"/>
        <w:bottom w:val="single" w:sz="4" w:space="10" w:color="4F81BD" w:themeColor="accent1"/>
      </w:pBdr>
      <w:spacing w:before="360" w:after="360"/>
      <w:ind w:left="864" w:right="864"/>
      <w:jc w:val="center"/>
    </w:pPr>
    <w:rPr>
      <w:i/>
      <w:iCs/>
      <w:color w:val="404040"/>
    </w:rPr>
  </w:style>
  <w:style w:type="character" w:customStyle="1" w:styleId="IntenseQuoteChar1">
    <w:name w:val="Intense Quote Char1"/>
    <w:basedOn w:val="DefaultParagraphFont"/>
    <w:uiPriority w:val="30"/>
    <w:semiHidden/>
    <w:rsid w:val="00156910"/>
    <w:rPr>
      <w:i/>
      <w:iCs/>
      <w:color w:val="4F81BD" w:themeColor="accent1"/>
      <w:sz w:val="22"/>
      <w:szCs w:val="22"/>
      <w:lang w:val="en-GB"/>
    </w:rPr>
  </w:style>
  <w:style w:type="character" w:styleId="Hyperlink">
    <w:name w:val="Hyperlink"/>
    <w:basedOn w:val="DefaultParagraphFont"/>
    <w:uiPriority w:val="99"/>
    <w:unhideWhenUsed/>
    <w:rsid w:val="00312A83"/>
    <w:rPr>
      <w:color w:val="2B3ECD"/>
      <w:u w:val="single"/>
    </w:rPr>
  </w:style>
  <w:style w:type="character" w:styleId="FollowedHyperlink">
    <w:name w:val="FollowedHyperlink"/>
    <w:basedOn w:val="DefaultParagraphFont"/>
    <w:uiPriority w:val="99"/>
    <w:semiHidden/>
    <w:unhideWhenUsed/>
    <w:rsid w:val="00156910"/>
    <w:rPr>
      <w:color w:val="800080" w:themeColor="followedHyperlink"/>
      <w:u w:val="single"/>
    </w:rPr>
  </w:style>
  <w:style w:type="character" w:styleId="SubtleEmphasis">
    <w:name w:val="Subtle Emphasis"/>
    <w:basedOn w:val="DefaultParagraphFont"/>
    <w:uiPriority w:val="19"/>
    <w:semiHidden/>
    <w:rsid w:val="00156910"/>
    <w:rPr>
      <w:i/>
      <w:iCs/>
      <w:color w:val="404040" w:themeColor="text1" w:themeTint="BF"/>
    </w:rPr>
  </w:style>
  <w:style w:type="character" w:styleId="SubtleReference">
    <w:name w:val="Subtle Reference"/>
    <w:basedOn w:val="DefaultParagraphFont"/>
    <w:uiPriority w:val="31"/>
    <w:semiHidden/>
    <w:rsid w:val="00156910"/>
    <w:rPr>
      <w:smallCaps/>
      <w:color w:val="5A5A5A" w:themeColor="text1" w:themeTint="A5"/>
    </w:rPr>
  </w:style>
  <w:style w:type="character" w:styleId="IntenseReference">
    <w:name w:val="Intense Reference"/>
    <w:basedOn w:val="DefaultParagraphFont"/>
    <w:uiPriority w:val="32"/>
    <w:semiHidden/>
    <w:rsid w:val="00156910"/>
    <w:rPr>
      <w:b/>
      <w:bCs/>
      <w:smallCaps/>
      <w:color w:val="4F81BD" w:themeColor="accent1"/>
      <w:spacing w:val="5"/>
    </w:rPr>
  </w:style>
  <w:style w:type="table" w:styleId="TableGrid">
    <w:name w:val="Table Grid"/>
    <w:basedOn w:val="TableNormal"/>
    <w:uiPriority w:val="59"/>
    <w:rsid w:val="0015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1569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15691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62">
    <w:name w:val="Grid Table 1 Light - Accent 62"/>
    <w:basedOn w:val="TableNormal"/>
    <w:uiPriority w:val="46"/>
    <w:rsid w:val="0015691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46"/>
    <w:rsid w:val="0015691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15691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4-Accent42">
    <w:name w:val="List Table 4 - Accent 42"/>
    <w:basedOn w:val="TableNormal"/>
    <w:uiPriority w:val="49"/>
    <w:rsid w:val="0015691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1Light-Accent42">
    <w:name w:val="Grid Table 1 Light - Accent 42"/>
    <w:basedOn w:val="TableNormal"/>
    <w:uiPriority w:val="46"/>
    <w:rsid w:val="0015691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ListTable3-Accent32">
    <w:name w:val="List Table 3 - Accent 32"/>
    <w:basedOn w:val="TableNormal"/>
    <w:uiPriority w:val="48"/>
    <w:rsid w:val="0015691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52">
    <w:name w:val="List Table 4 - Accent 52"/>
    <w:basedOn w:val="TableNormal"/>
    <w:uiPriority w:val="49"/>
    <w:rsid w:val="0015691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2">
    <w:name w:val="List Table 4 - Accent 32"/>
    <w:basedOn w:val="TableNormal"/>
    <w:uiPriority w:val="49"/>
    <w:rsid w:val="0015691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2">
    <w:name w:val="Grid Table 1 Light - Accent 32"/>
    <w:basedOn w:val="TableNormal"/>
    <w:uiPriority w:val="46"/>
    <w:rsid w:val="0015691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ListTable1Light-Accent62">
    <w:name w:val="List Table 1 Light - Accent 62"/>
    <w:basedOn w:val="TableNormal"/>
    <w:uiPriority w:val="46"/>
    <w:rsid w:val="0015691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6Colorful2">
    <w:name w:val="Grid Table 6 Colorful2"/>
    <w:basedOn w:val="TableNormal"/>
    <w:uiPriority w:val="51"/>
    <w:rsid w:val="0015691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2">
    <w:name w:val="List Table 2 - Accent 52"/>
    <w:basedOn w:val="TableNormal"/>
    <w:uiPriority w:val="47"/>
    <w:rsid w:val="0015691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CoverTable">
    <w:name w:val="CoverTable"/>
    <w:basedOn w:val="CoverNormalChar"/>
    <w:uiPriority w:val="1"/>
    <w:unhideWhenUsed/>
    <w:rsid w:val="00791C75"/>
    <w:rPr>
      <w:rFonts w:ascii="Times New Roman" w:eastAsiaTheme="minorEastAsia" w:hAnsi="Times New Roman"/>
      <w:b w:val="0"/>
      <w:i w:val="0"/>
      <w:position w:val="6"/>
      <w:sz w:val="20"/>
      <w:szCs w:val="21"/>
      <w:lang w:val="en-GB" w:eastAsia="en-US"/>
    </w:rPr>
  </w:style>
  <w:style w:type="table" w:customStyle="1" w:styleId="GridTable2-Accent11">
    <w:name w:val="Grid Table 2 - Accent 11"/>
    <w:basedOn w:val="TableNormal"/>
    <w:uiPriority w:val="47"/>
    <w:rsid w:val="00B935E3"/>
    <w:rPr>
      <w:rFonts w:eastAsiaTheme="minorEastAsia" w:cstheme="minorBidi"/>
      <w:position w:val="6"/>
      <w:lang w:val="en-GB" w:eastAsia="ko-K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H2">
    <w:name w:val="Annex H2"/>
    <w:basedOn w:val="Normal"/>
    <w:next w:val="Para0"/>
    <w:uiPriority w:val="15"/>
    <w:qFormat/>
    <w:rsid w:val="00F2114E"/>
    <w:pPr>
      <w:keepNext/>
      <w:spacing w:before="240" w:after="240"/>
      <w:ind w:right="680"/>
      <w:jc w:val="left"/>
      <w:outlineLvl w:val="1"/>
    </w:pPr>
    <w:rPr>
      <w:b/>
      <w:color w:val="4E81BD"/>
      <w:sz w:val="24"/>
    </w:rPr>
  </w:style>
  <w:style w:type="paragraph" w:customStyle="1" w:styleId="AnnexH3">
    <w:name w:val="Annex H3"/>
    <w:basedOn w:val="Normal"/>
    <w:next w:val="Para0"/>
    <w:uiPriority w:val="15"/>
    <w:qFormat/>
    <w:rsid w:val="00F2114E"/>
    <w:pPr>
      <w:keepNext/>
      <w:keepLines/>
      <w:spacing w:before="240" w:after="120"/>
      <w:ind w:left="680" w:right="680"/>
      <w:jc w:val="left"/>
      <w:outlineLvl w:val="2"/>
    </w:pPr>
    <w:rPr>
      <w:b/>
      <w:i/>
      <w:color w:val="262626"/>
      <w:sz w:val="24"/>
    </w:rPr>
  </w:style>
  <w:style w:type="paragraph" w:customStyle="1" w:styleId="BulletedList">
    <w:name w:val="Bulleted List"/>
    <w:basedOn w:val="ListParagraph"/>
    <w:uiPriority w:val="6"/>
    <w:qFormat/>
    <w:rsid w:val="00F2114E"/>
    <w:pPr>
      <w:numPr>
        <w:numId w:val="25"/>
      </w:numPr>
      <w:spacing w:after="120"/>
      <w:ind w:right="680"/>
    </w:pPr>
  </w:style>
  <w:style w:type="paragraph" w:customStyle="1" w:styleId="NumberedList">
    <w:name w:val="Numbered List"/>
    <w:basedOn w:val="ListParagraph"/>
    <w:uiPriority w:val="5"/>
    <w:qFormat/>
    <w:rsid w:val="00F2114E"/>
    <w:pPr>
      <w:numPr>
        <w:numId w:val="26"/>
      </w:numPr>
      <w:spacing w:after="120"/>
      <w:ind w:right="680"/>
    </w:pPr>
  </w:style>
  <w:style w:type="paragraph" w:customStyle="1" w:styleId="CoverCommittee">
    <w:name w:val="CoverCommittee"/>
    <w:basedOn w:val="CoverNormal"/>
    <w:rsid w:val="00011D4C"/>
    <w:rPr>
      <w:b/>
    </w:rPr>
  </w:style>
  <w:style w:type="paragraph" w:customStyle="1" w:styleId="CoverWorkingParty">
    <w:name w:val="CoverWorkingParty"/>
    <w:basedOn w:val="CoverNormal"/>
    <w:rsid w:val="005C1BFB"/>
    <w:rPr>
      <w:b/>
      <w:sz w:val="24"/>
    </w:rPr>
  </w:style>
  <w:style w:type="paragraph" w:customStyle="1" w:styleId="CoverPwbCode">
    <w:name w:val="CoverPwbCode"/>
    <w:basedOn w:val="CoverJobTicket"/>
    <w:rsid w:val="003974D4"/>
    <w:pPr>
      <w:spacing w:after="120"/>
    </w:pPr>
    <w:rPr>
      <w:noProof/>
      <w:lang w:eastAsia="en-GB"/>
    </w:rPr>
  </w:style>
  <w:style w:type="character" w:customStyle="1" w:styleId="DefaultCoverPage">
    <w:name w:val="DefaultCoverPage"/>
    <w:basedOn w:val="DefaultParagraphFont"/>
    <w:uiPriority w:val="1"/>
    <w:rsid w:val="003076F3"/>
    <w:rPr>
      <w:rFonts w:ascii="Times New Roman" w:hAnsi="Times New Roman"/>
      <w:sz w:val="21"/>
    </w:rPr>
  </w:style>
  <w:style w:type="paragraph" w:customStyle="1" w:styleId="Figure">
    <w:name w:val="Figure"/>
    <w:basedOn w:val="Normal"/>
    <w:rsid w:val="00276DDE"/>
    <w:pPr>
      <w:keepNext/>
      <w:keepLines/>
      <w:jc w:val="center"/>
    </w:pPr>
    <w:rPr>
      <w:noProof/>
      <w:lang w:eastAsia="ko-KR"/>
    </w:rPr>
  </w:style>
  <w:style w:type="paragraph" w:customStyle="1" w:styleId="StatLinkLogo">
    <w:name w:val="StatLink Logo"/>
    <w:basedOn w:val="Para0"/>
    <w:next w:val="Para0"/>
    <w:rsid w:val="007361BF"/>
    <w:pPr>
      <w:spacing w:after="240"/>
      <w:jc w:val="right"/>
    </w:pPr>
    <w:rPr>
      <w:rFonts w:ascii="StatLink" w:hAnsi="StatLink"/>
      <w:sz w:val="18"/>
    </w:rPr>
  </w:style>
  <w:style w:type="character" w:customStyle="1" w:styleId="StatLinkDOI">
    <w:name w:val="StatLink DOI"/>
    <w:basedOn w:val="DefaultParagraphFont"/>
    <w:uiPriority w:val="1"/>
    <w:rsid w:val="007361BF"/>
    <w:rPr>
      <w:rFonts w:ascii="Times New Roman" w:hAnsi="Times New Roman"/>
      <w:sz w:val="18"/>
    </w:rPr>
  </w:style>
  <w:style w:type="paragraph" w:customStyle="1" w:styleId="Title2">
    <w:name w:val="Title 2"/>
    <w:basedOn w:val="Heading2"/>
    <w:next w:val="Para0"/>
    <w:qFormat/>
    <w:rsid w:val="00F2114E"/>
    <w:pPr>
      <w:numPr>
        <w:ilvl w:val="0"/>
        <w:numId w:val="0"/>
      </w:numPr>
    </w:pPr>
    <w:rPr>
      <w:color w:val="4E81BD"/>
    </w:rPr>
  </w:style>
  <w:style w:type="paragraph" w:customStyle="1" w:styleId="Title3">
    <w:name w:val="Title 3"/>
    <w:basedOn w:val="Normal"/>
    <w:next w:val="Para0"/>
    <w:qFormat/>
    <w:rsid w:val="00F2114E"/>
    <w:pPr>
      <w:keepNext/>
      <w:keepLines/>
      <w:spacing w:before="240" w:after="120"/>
      <w:ind w:left="680" w:right="680"/>
      <w:jc w:val="left"/>
      <w:outlineLvl w:val="2"/>
    </w:pPr>
    <w:rPr>
      <w:b/>
      <w:i/>
      <w:sz w:val="24"/>
    </w:rPr>
  </w:style>
  <w:style w:type="table" w:styleId="LightShading-Accent1">
    <w:name w:val="Light Shading Accent 1"/>
    <w:basedOn w:val="TableNormal"/>
    <w:uiPriority w:val="60"/>
    <w:rsid w:val="009500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OECD">
    <w:name w:val="OECD"/>
    <w:basedOn w:val="LightShading-Accent1"/>
    <w:uiPriority w:val="99"/>
    <w:rsid w:val="00193F33"/>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Abstract">
    <w:name w:val="Abstract"/>
    <w:basedOn w:val="Para0"/>
    <w:uiPriority w:val="2"/>
    <w:qFormat/>
    <w:rsid w:val="00F2114E"/>
    <w:pPr>
      <w:pBdr>
        <w:top w:val="single" w:sz="4" w:space="12" w:color="auto"/>
        <w:left w:val="single" w:sz="4" w:space="12" w:color="auto"/>
        <w:bottom w:val="single" w:sz="4" w:space="12" w:color="auto"/>
        <w:right w:val="single" w:sz="4" w:space="12" w:color="auto"/>
      </w:pBdr>
    </w:pPr>
    <w:rPr>
      <w:i/>
    </w:rPr>
  </w:style>
  <w:style w:type="paragraph" w:customStyle="1" w:styleId="BoxHeading">
    <w:name w:val="Box Heading"/>
    <w:basedOn w:val="Normal"/>
    <w:next w:val="Para0"/>
    <w:uiPriority w:val="8"/>
    <w:qFormat/>
    <w:rsid w:val="00F2114E"/>
    <w:pPr>
      <w:keepNext/>
      <w:spacing w:before="240" w:after="120"/>
      <w:ind w:left="680" w:right="680"/>
      <w:jc w:val="left"/>
    </w:pPr>
    <w:rPr>
      <w:b/>
      <w:sz w:val="20"/>
    </w:rPr>
  </w:style>
  <w:style w:type="paragraph" w:customStyle="1" w:styleId="CoverInformation">
    <w:name w:val="CoverInformation"/>
    <w:basedOn w:val="CoverSubTitle"/>
    <w:rsid w:val="00751A55"/>
  </w:style>
  <w:style w:type="character" w:customStyle="1" w:styleId="CoverDateChar">
    <w:name w:val="CoverDate Char"/>
    <w:basedOn w:val="CoverNormalChar"/>
    <w:link w:val="CoverDate"/>
    <w:rsid w:val="003974D4"/>
    <w:rPr>
      <w:rFonts w:ascii="Times New Roman" w:eastAsia="SimSun" w:hAnsi="Times New Roman"/>
      <w:b/>
      <w:color w:val="FFFFFF" w:themeColor="background1"/>
      <w:sz w:val="18"/>
      <w:lang w:val="en-GB"/>
    </w:rPr>
  </w:style>
  <w:style w:type="paragraph" w:customStyle="1" w:styleId="Session">
    <w:name w:val="Session"/>
    <w:basedOn w:val="Normal"/>
    <w:next w:val="Time"/>
    <w:rsid w:val="002C4BC8"/>
    <w:pPr>
      <w:keepNext/>
      <w:spacing w:after="240"/>
      <w:jc w:val="left"/>
    </w:pPr>
    <w:rPr>
      <w:i/>
      <w:u w:val="single"/>
    </w:rPr>
  </w:style>
  <w:style w:type="paragraph" w:customStyle="1" w:styleId="GroupHeading">
    <w:name w:val="Group Heading"/>
    <w:basedOn w:val="Normal"/>
    <w:next w:val="Para0"/>
    <w:rsid w:val="00184759"/>
    <w:pPr>
      <w:keepNext/>
      <w:numPr>
        <w:numId w:val="21"/>
      </w:numPr>
      <w:pBdr>
        <w:top w:val="single" w:sz="4" w:space="1" w:color="auto"/>
      </w:pBdr>
      <w:spacing w:after="120"/>
      <w:jc w:val="left"/>
    </w:pPr>
    <w:rPr>
      <w:b/>
      <w:i/>
      <w:color w:val="4E81BD"/>
    </w:rPr>
  </w:style>
  <w:style w:type="paragraph" w:customStyle="1" w:styleId="Break">
    <w:name w:val="Break"/>
    <w:basedOn w:val="Normal"/>
    <w:next w:val="Time"/>
    <w:rsid w:val="00184759"/>
    <w:pPr>
      <w:pBdr>
        <w:top w:val="single" w:sz="4" w:space="4" w:color="auto"/>
        <w:bottom w:val="single" w:sz="4" w:space="4" w:color="auto"/>
      </w:pBdr>
      <w:shd w:val="pct5" w:color="auto" w:fill="auto"/>
      <w:jc w:val="center"/>
    </w:pPr>
    <w:rPr>
      <w:i/>
    </w:rPr>
  </w:style>
  <w:style w:type="paragraph" w:customStyle="1" w:styleId="Time">
    <w:name w:val="Time"/>
    <w:basedOn w:val="Normal"/>
    <w:next w:val="Heading1"/>
    <w:rsid w:val="002C4BC8"/>
    <w:pPr>
      <w:keepNext/>
      <w:spacing w:before="360" w:after="120"/>
    </w:pPr>
    <w:rPr>
      <w:i/>
      <w:sz w:val="20"/>
    </w:rPr>
  </w:style>
  <w:style w:type="paragraph" w:customStyle="1" w:styleId="RefDocuments">
    <w:name w:val="Ref Documents"/>
    <w:basedOn w:val="Para0"/>
    <w:next w:val="Annotation"/>
    <w:rsid w:val="002C4BC8"/>
    <w:pPr>
      <w:ind w:left="7371"/>
      <w:contextualSpacing/>
      <w:jc w:val="left"/>
    </w:pPr>
  </w:style>
  <w:style w:type="paragraph" w:customStyle="1" w:styleId="Action">
    <w:name w:val="Action"/>
    <w:basedOn w:val="Para0"/>
    <w:next w:val="Heading2"/>
    <w:rsid w:val="00F11585"/>
    <w:rPr>
      <w:u w:val="single"/>
    </w:rPr>
  </w:style>
  <w:style w:type="paragraph" w:customStyle="1" w:styleId="SpecialItem">
    <w:name w:val="Special Item"/>
    <w:basedOn w:val="Normal"/>
    <w:next w:val="Time"/>
    <w:rsid w:val="002C4BC8"/>
    <w:pPr>
      <w:spacing w:before="240" w:after="240"/>
    </w:pPr>
    <w:rPr>
      <w:i/>
    </w:rPr>
  </w:style>
  <w:style w:type="paragraph" w:customStyle="1" w:styleId="ImportantInformation">
    <w:name w:val="Important Information"/>
    <w:basedOn w:val="Para0"/>
    <w:rsid w:val="002C4BC8"/>
    <w:pPr>
      <w:spacing w:after="480"/>
      <w:ind w:left="284" w:right="284"/>
      <w:contextualSpacing/>
      <w:jc w:val="center"/>
    </w:pPr>
  </w:style>
  <w:style w:type="paragraph" w:customStyle="1" w:styleId="CoverTitlePublication">
    <w:name w:val="CoverTitlePublication"/>
    <w:basedOn w:val="CoverNormal"/>
    <w:rsid w:val="00E613BF"/>
    <w:pPr>
      <w:jc w:val="center"/>
    </w:pPr>
    <w:rPr>
      <w:rFonts w:ascii="Caecilia Roman" w:hAnsi="Caecilia Roman"/>
      <w:b/>
      <w:sz w:val="52"/>
    </w:rPr>
  </w:style>
  <w:style w:type="paragraph" w:customStyle="1" w:styleId="CoverSubtitlePublication">
    <w:name w:val="CoverSubtitlePublication"/>
    <w:basedOn w:val="CoverTitlePublication"/>
    <w:rsid w:val="00E613BF"/>
    <w:rPr>
      <w:b w:val="0"/>
      <w:sz w:val="40"/>
    </w:rPr>
  </w:style>
  <w:style w:type="paragraph" w:customStyle="1" w:styleId="FooterClassification">
    <w:name w:val="Footer Classification"/>
    <w:basedOn w:val="Normal"/>
    <w:rsid w:val="00C4025B"/>
    <w:pPr>
      <w:jc w:val="right"/>
    </w:pPr>
    <w:rPr>
      <w:sz w:val="16"/>
    </w:rPr>
  </w:style>
  <w:style w:type="paragraph" w:customStyle="1" w:styleId="CoverSeriesTitlePublication">
    <w:name w:val="CoverSeriesTitlePublication"/>
    <w:basedOn w:val="CoverNormal"/>
    <w:rsid w:val="00242F6F"/>
    <w:pPr>
      <w:spacing w:after="40"/>
    </w:pPr>
    <w:rPr>
      <w:rFonts w:ascii="Caecilia Roman" w:eastAsiaTheme="minorHAnsi" w:hAnsi="Caecilia Roman"/>
      <w:sz w:val="32"/>
    </w:rPr>
  </w:style>
  <w:style w:type="paragraph" w:customStyle="1" w:styleId="Annotation">
    <w:name w:val="Annotation"/>
    <w:basedOn w:val="Normal"/>
    <w:rsid w:val="002C4BC8"/>
    <w:pPr>
      <w:numPr>
        <w:numId w:val="22"/>
      </w:numPr>
      <w:tabs>
        <w:tab w:val="clear" w:pos="850"/>
        <w:tab w:val="clear" w:pos="1191"/>
        <w:tab w:val="clear" w:pos="1531"/>
        <w:tab w:val="left" w:pos="7371"/>
      </w:tabs>
      <w:spacing w:before="120" w:after="120"/>
      <w:jc w:val="left"/>
    </w:pPr>
    <w:rPr>
      <w:sz w:val="20"/>
    </w:rPr>
  </w:style>
  <w:style w:type="paragraph" w:customStyle="1" w:styleId="Conclusion">
    <w:name w:val="Conclusion"/>
    <w:basedOn w:val="Para0"/>
    <w:next w:val="Heading1"/>
    <w:rsid w:val="00184759"/>
    <w:pPr>
      <w:spacing w:before="360" w:after="360"/>
      <w:jc w:val="center"/>
    </w:pPr>
    <w:rPr>
      <w:b/>
    </w:rPr>
  </w:style>
  <w:style w:type="paragraph" w:customStyle="1" w:styleId="ProposedAction">
    <w:name w:val="Proposed Action"/>
    <w:basedOn w:val="Para0"/>
    <w:rsid w:val="00ED7CCA"/>
    <w:pPr>
      <w:numPr>
        <w:numId w:val="14"/>
      </w:numPr>
      <w:spacing w:before="0" w:after="240"/>
    </w:pPr>
  </w:style>
  <w:style w:type="paragraph" w:customStyle="1" w:styleId="NL2">
    <w:name w:val="NL2"/>
    <w:basedOn w:val="Para0"/>
    <w:link w:val="NL2Char"/>
    <w:semiHidden/>
    <w:rsid w:val="00AE6C44"/>
    <w:pPr>
      <w:numPr>
        <w:numId w:val="15"/>
      </w:numPr>
      <w:tabs>
        <w:tab w:val="left" w:pos="340"/>
      </w:tabs>
      <w:spacing w:before="0"/>
      <w:ind w:left="1701" w:hanging="340"/>
      <w:contextualSpacing/>
    </w:pPr>
    <w:rPr>
      <w:noProof/>
    </w:rPr>
  </w:style>
  <w:style w:type="paragraph" w:customStyle="1" w:styleId="NL3">
    <w:name w:val="NL3"/>
    <w:basedOn w:val="Para0"/>
    <w:link w:val="NL3Char"/>
    <w:semiHidden/>
    <w:rsid w:val="00AE6C44"/>
    <w:pPr>
      <w:numPr>
        <w:numId w:val="16"/>
      </w:numPr>
      <w:tabs>
        <w:tab w:val="num" w:pos="360"/>
      </w:tabs>
      <w:spacing w:before="0"/>
      <w:ind w:left="1985" w:hanging="227"/>
      <w:contextualSpacing/>
    </w:pPr>
    <w:rPr>
      <w:noProof/>
    </w:rPr>
  </w:style>
  <w:style w:type="character" w:customStyle="1" w:styleId="ParaChar0">
    <w:name w:val="Para Char"/>
    <w:basedOn w:val="DefaultParagraphFont"/>
    <w:link w:val="Para0"/>
    <w:uiPriority w:val="3"/>
    <w:rsid w:val="00F2114E"/>
    <w:rPr>
      <w:rFonts w:ascii="Times New Roman" w:eastAsia="SimSun" w:hAnsi="Times New Roman"/>
      <w:sz w:val="22"/>
      <w:lang w:val="en-GB"/>
    </w:rPr>
  </w:style>
  <w:style w:type="character" w:customStyle="1" w:styleId="NL2Char">
    <w:name w:val="NL2 Char"/>
    <w:basedOn w:val="ParaChar0"/>
    <w:link w:val="NL2"/>
    <w:semiHidden/>
    <w:rsid w:val="00DF08DF"/>
    <w:rPr>
      <w:rFonts w:ascii="Times New Roman" w:eastAsia="SimSun" w:hAnsi="Times New Roman"/>
      <w:noProof/>
      <w:sz w:val="22"/>
      <w:lang w:val="en-GB"/>
    </w:rPr>
  </w:style>
  <w:style w:type="paragraph" w:customStyle="1" w:styleId="NL4">
    <w:name w:val="NL4"/>
    <w:basedOn w:val="Para0"/>
    <w:link w:val="NL4Char"/>
    <w:semiHidden/>
    <w:rsid w:val="00AE6C44"/>
    <w:pPr>
      <w:numPr>
        <w:numId w:val="17"/>
      </w:numPr>
      <w:tabs>
        <w:tab w:val="left" w:pos="340"/>
      </w:tabs>
      <w:spacing w:before="0"/>
      <w:ind w:left="2410" w:hanging="369"/>
      <w:contextualSpacing/>
    </w:pPr>
    <w:rPr>
      <w:noProof/>
    </w:rPr>
  </w:style>
  <w:style w:type="character" w:customStyle="1" w:styleId="NL3Char">
    <w:name w:val="NL3 Char"/>
    <w:basedOn w:val="ParaChar0"/>
    <w:link w:val="NL3"/>
    <w:semiHidden/>
    <w:rsid w:val="00DF08DF"/>
    <w:rPr>
      <w:rFonts w:ascii="Times New Roman" w:eastAsia="SimSun" w:hAnsi="Times New Roman"/>
      <w:noProof/>
      <w:sz w:val="22"/>
      <w:lang w:val="en-GB"/>
    </w:rPr>
  </w:style>
  <w:style w:type="character" w:customStyle="1" w:styleId="NL4Char">
    <w:name w:val="NL4 Char"/>
    <w:basedOn w:val="ParaChar0"/>
    <w:link w:val="NL4"/>
    <w:semiHidden/>
    <w:rsid w:val="00DF08DF"/>
    <w:rPr>
      <w:rFonts w:ascii="Times New Roman" w:eastAsia="SimSun" w:hAnsi="Times New Roman"/>
      <w:noProof/>
      <w:sz w:val="22"/>
      <w:lang w:val="en-GB"/>
    </w:rPr>
  </w:style>
  <w:style w:type="paragraph" w:customStyle="1" w:styleId="BL2">
    <w:name w:val="BL2"/>
    <w:basedOn w:val="Para0"/>
    <w:link w:val="BL2Char"/>
    <w:semiHidden/>
    <w:rsid w:val="00180584"/>
    <w:pPr>
      <w:numPr>
        <w:numId w:val="18"/>
      </w:numPr>
      <w:spacing w:before="0"/>
      <w:ind w:left="1701" w:hanging="340"/>
      <w:contextualSpacing/>
    </w:pPr>
  </w:style>
  <w:style w:type="paragraph" w:customStyle="1" w:styleId="BL3">
    <w:name w:val="BL3"/>
    <w:basedOn w:val="Para0"/>
    <w:link w:val="BL3Char"/>
    <w:semiHidden/>
    <w:rsid w:val="00403E01"/>
    <w:pPr>
      <w:numPr>
        <w:numId w:val="20"/>
      </w:numPr>
      <w:spacing w:before="0"/>
      <w:ind w:left="2058" w:hanging="357"/>
      <w:contextualSpacing/>
    </w:pPr>
    <w:rPr>
      <w:noProof/>
    </w:rPr>
  </w:style>
  <w:style w:type="character" w:customStyle="1" w:styleId="BL2Char">
    <w:name w:val="BL2 Char"/>
    <w:basedOn w:val="ParaChar0"/>
    <w:link w:val="BL2"/>
    <w:semiHidden/>
    <w:rsid w:val="00DF08DF"/>
    <w:rPr>
      <w:rFonts w:ascii="Times New Roman" w:eastAsia="SimSun" w:hAnsi="Times New Roman"/>
      <w:sz w:val="22"/>
      <w:lang w:val="en-GB"/>
    </w:rPr>
  </w:style>
  <w:style w:type="paragraph" w:customStyle="1" w:styleId="BL4">
    <w:name w:val="BL4"/>
    <w:basedOn w:val="Para0"/>
    <w:link w:val="BL4Char"/>
    <w:semiHidden/>
    <w:rsid w:val="00403E01"/>
    <w:pPr>
      <w:numPr>
        <w:ilvl w:val="1"/>
        <w:numId w:val="19"/>
      </w:numPr>
      <w:spacing w:before="0"/>
      <w:ind w:left="2381" w:hanging="340"/>
      <w:contextualSpacing/>
    </w:pPr>
  </w:style>
  <w:style w:type="character" w:customStyle="1" w:styleId="BL3Char">
    <w:name w:val="BL3 Char"/>
    <w:basedOn w:val="ParaChar0"/>
    <w:link w:val="BL3"/>
    <w:semiHidden/>
    <w:rsid w:val="00DF08DF"/>
    <w:rPr>
      <w:rFonts w:ascii="Times New Roman" w:eastAsia="SimSun" w:hAnsi="Times New Roman"/>
      <w:noProof/>
      <w:sz w:val="22"/>
      <w:lang w:val="en-GB"/>
    </w:rPr>
  </w:style>
  <w:style w:type="character" w:customStyle="1" w:styleId="BL4Char">
    <w:name w:val="BL4 Char"/>
    <w:basedOn w:val="ParaChar0"/>
    <w:link w:val="BL4"/>
    <w:semiHidden/>
    <w:rsid w:val="00DF08DF"/>
    <w:rPr>
      <w:rFonts w:ascii="Times New Roman" w:eastAsia="SimSun" w:hAnsi="Times New Roman"/>
      <w:sz w:val="22"/>
      <w:lang w:val="en-GB"/>
    </w:rPr>
  </w:style>
  <w:style w:type="paragraph" w:customStyle="1" w:styleId="Notes">
    <w:name w:val="Notes"/>
    <w:basedOn w:val="Normal"/>
    <w:rsid w:val="00630B9E"/>
    <w:pPr>
      <w:keepNext/>
      <w:keepLines/>
      <w:tabs>
        <w:tab w:val="clear" w:pos="850"/>
        <w:tab w:val="clear" w:pos="1191"/>
        <w:tab w:val="clear" w:pos="1531"/>
      </w:tabs>
      <w:spacing w:before="120"/>
      <w:ind w:left="680" w:right="680"/>
      <w:contextualSpacing/>
    </w:pPr>
    <w:rPr>
      <w:rFonts w:eastAsia="SimSun" w:cs="Arial"/>
      <w:sz w:val="18"/>
      <w:szCs w:val="18"/>
    </w:rPr>
  </w:style>
  <w:style w:type="paragraph" w:customStyle="1" w:styleId="Source">
    <w:name w:val="Source"/>
    <w:basedOn w:val="Normal"/>
    <w:rsid w:val="00630B9E"/>
    <w:pPr>
      <w:keepNext/>
      <w:keepLines/>
      <w:tabs>
        <w:tab w:val="clear" w:pos="850"/>
        <w:tab w:val="clear" w:pos="1191"/>
        <w:tab w:val="clear" w:pos="1531"/>
      </w:tabs>
      <w:spacing w:after="240"/>
      <w:ind w:left="680" w:right="680"/>
      <w:contextualSpacing/>
    </w:pPr>
    <w:rPr>
      <w:rFonts w:eastAsia="SimSun" w:cs="Arial"/>
      <w:sz w:val="18"/>
      <w:szCs w:val="18"/>
    </w:rPr>
  </w:style>
  <w:style w:type="paragraph" w:customStyle="1" w:styleId="15CEAF76EE11422DB380C0CFFC55BBA7">
    <w:name w:val="15CEAF76EE11422DB380C0CFFC55BBA7"/>
    <w:rsid w:val="00421C0B"/>
    <w:pPr>
      <w:spacing w:after="160" w:line="259" w:lineRule="auto"/>
    </w:pPr>
    <w:rPr>
      <w:rFonts w:asciiTheme="minorHAnsi" w:eastAsiaTheme="minorEastAsia" w:hAnsiTheme="minorHAnsi" w:cstheme="minorBidi"/>
      <w:sz w:val="22"/>
      <w:szCs w:val="22"/>
    </w:rPr>
  </w:style>
  <w:style w:type="paragraph" w:customStyle="1" w:styleId="Instructions">
    <w:name w:val="Instructions"/>
    <w:basedOn w:val="ListBullet"/>
    <w:qFormat/>
    <w:rsid w:val="006908C1"/>
    <w:pPr>
      <w:numPr>
        <w:numId w:val="0"/>
      </w:numPr>
      <w:tabs>
        <w:tab w:val="clear" w:pos="567"/>
      </w:tabs>
      <w:contextualSpacing/>
    </w:pPr>
    <w:rPr>
      <w:rFonts w:ascii="Cambria" w:eastAsia="Times New Roman" w:hAnsi="Cambria"/>
      <w:color w:val="808080"/>
      <w:sz w:val="20"/>
      <w:lang w:eastAsia="zh-CN"/>
    </w:rPr>
  </w:style>
  <w:style w:type="character" w:customStyle="1" w:styleId="FollowedHyperlink1">
    <w:name w:val="FollowedHyperlink1"/>
    <w:basedOn w:val="DefaultParagraphFont"/>
    <w:uiPriority w:val="99"/>
    <w:semiHidden/>
    <w:unhideWhenUsed/>
    <w:rsid w:val="002643B3"/>
    <w:rPr>
      <w:color w:val="800080"/>
      <w:u w:val="single"/>
    </w:rPr>
  </w:style>
  <w:style w:type="paragraph" w:customStyle="1" w:styleId="FAFT-BULLETEDTEXT">
    <w:name w:val="FAFT- BULLETED TEXT"/>
    <w:basedOn w:val="Normal"/>
    <w:rsid w:val="002643B3"/>
    <w:pPr>
      <w:numPr>
        <w:numId w:val="30"/>
      </w:numPr>
      <w:tabs>
        <w:tab w:val="clear" w:pos="850"/>
        <w:tab w:val="clear" w:pos="1191"/>
        <w:tab w:val="clear" w:pos="1531"/>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Default">
    <w:name w:val="Default"/>
    <w:rsid w:val="002643B3"/>
    <w:pPr>
      <w:autoSpaceDE w:val="0"/>
      <w:autoSpaceDN w:val="0"/>
      <w:adjustRightInd w:val="0"/>
    </w:pPr>
    <w:rPr>
      <w:rFonts w:ascii="Times New Roman" w:hAnsi="Times New Roman"/>
      <w:color w:val="000000"/>
      <w:sz w:val="24"/>
      <w:szCs w:val="24"/>
      <w:lang w:val="en-GB"/>
    </w:rPr>
  </w:style>
  <w:style w:type="paragraph" w:customStyle="1" w:styleId="FAFT-TEXTEjustifiedleft">
    <w:name w:val="FAFT-TEXTE justified left"/>
    <w:basedOn w:val="Normal"/>
    <w:rsid w:val="002643B3"/>
    <w:pPr>
      <w:tabs>
        <w:tab w:val="clear" w:pos="850"/>
        <w:tab w:val="clear" w:pos="1191"/>
        <w:tab w:val="clear" w:pos="1531"/>
        <w:tab w:val="left" w:pos="624"/>
        <w:tab w:val="left" w:pos="1247"/>
        <w:tab w:val="left" w:pos="1871"/>
        <w:tab w:val="left" w:pos="2495"/>
        <w:tab w:val="left" w:pos="3119"/>
      </w:tabs>
      <w:spacing w:after="120" w:line="300" w:lineRule="exact"/>
      <w:jc w:val="left"/>
    </w:pPr>
    <w:rPr>
      <w:rFonts w:ascii="Cambria" w:eastAsia="Times New Roman" w:hAnsi="Cambria"/>
      <w:szCs w:val="22"/>
      <w:lang w:eastAsia="zh-CN"/>
    </w:rPr>
  </w:style>
  <w:style w:type="paragraph" w:customStyle="1" w:styleId="FATF-TEXTE1115">
    <w:name w:val="FATF-TEXTE 11/15"/>
    <w:link w:val="FATF-TEXTE1115Char"/>
    <w:rsid w:val="002643B3"/>
    <w:pPr>
      <w:tabs>
        <w:tab w:val="left" w:pos="624"/>
        <w:tab w:val="left" w:pos="1247"/>
        <w:tab w:val="left" w:pos="1871"/>
        <w:tab w:val="left" w:pos="2495"/>
        <w:tab w:val="left" w:pos="3119"/>
      </w:tabs>
      <w:spacing w:after="120" w:line="300" w:lineRule="exact"/>
      <w:jc w:val="both"/>
    </w:pPr>
    <w:rPr>
      <w:rFonts w:ascii="Cambria" w:eastAsia="Times New Roman" w:hAnsi="Cambria"/>
      <w:sz w:val="22"/>
      <w:szCs w:val="22"/>
      <w:lang w:val="en-GB" w:eastAsia="zh-CN"/>
    </w:rPr>
  </w:style>
  <w:style w:type="character" w:customStyle="1" w:styleId="FATF-TEXTE1115Char">
    <w:name w:val="FATF-TEXTE 11/15 Char"/>
    <w:link w:val="FATF-TEXTE1115"/>
    <w:rsid w:val="002643B3"/>
    <w:rPr>
      <w:rFonts w:ascii="Cambria" w:eastAsia="Times New Roman" w:hAnsi="Cambria"/>
      <w:sz w:val="22"/>
      <w:szCs w:val="22"/>
      <w:lang w:val="en-GB" w:eastAsia="zh-CN"/>
    </w:rPr>
  </w:style>
  <w:style w:type="character" w:customStyle="1" w:styleId="apple-converted-space">
    <w:name w:val="apple-converted-space"/>
    <w:basedOn w:val="DefaultParagraphFont"/>
    <w:rsid w:val="00352F37"/>
  </w:style>
  <w:style w:type="paragraph" w:customStyle="1" w:styleId="Num-DocParagraph">
    <w:name w:val="Num-Doc Paragraph"/>
    <w:basedOn w:val="BodyText"/>
    <w:uiPriority w:val="99"/>
    <w:rsid w:val="00352F37"/>
    <w:pPr>
      <w:tabs>
        <w:tab w:val="left" w:pos="850"/>
        <w:tab w:val="left" w:pos="1191"/>
        <w:tab w:val="left" w:pos="1531"/>
      </w:tabs>
      <w:spacing w:after="240"/>
      <w:ind w:firstLine="0"/>
    </w:pPr>
    <w:rPr>
      <w:rFonts w:eastAsia="Times New Roman"/>
      <w:szCs w:val="22"/>
      <w:lang w:eastAsia="zh-CN"/>
    </w:rPr>
  </w:style>
  <w:style w:type="table" w:styleId="LightList-Accent2">
    <w:name w:val="Light List Accent 2"/>
    <w:basedOn w:val="TableNormal"/>
    <w:uiPriority w:val="61"/>
    <w:rsid w:val="00352F3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eGrid0">
    <w:name w:val="TableGrid"/>
    <w:rsid w:val="00352F3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ne">
    <w:name w:val="None"/>
    <w:rsid w:val="00352F37"/>
  </w:style>
  <w:style w:type="paragraph" w:customStyle="1" w:styleId="TableParagraph">
    <w:name w:val="Table Paragraph"/>
    <w:basedOn w:val="Normal"/>
    <w:uiPriority w:val="1"/>
    <w:rsid w:val="00352F37"/>
    <w:pPr>
      <w:widowControl w:val="0"/>
      <w:tabs>
        <w:tab w:val="clear" w:pos="850"/>
        <w:tab w:val="clear" w:pos="1191"/>
        <w:tab w:val="clear" w:pos="1531"/>
      </w:tabs>
      <w:jc w:val="left"/>
    </w:pPr>
    <w:rPr>
      <w:rFonts w:asciiTheme="minorHAnsi" w:hAnsiTheme="minorHAnsi" w:cstheme="minorBidi"/>
      <w:szCs w:val="22"/>
      <w:lang w:val="en-US"/>
    </w:rPr>
  </w:style>
  <w:style w:type="table" w:customStyle="1" w:styleId="TableGrid2">
    <w:name w:val="Table Grid2"/>
    <w:basedOn w:val="TableNormal"/>
    <w:next w:val="TableGrid"/>
    <w:uiPriority w:val="59"/>
    <w:rsid w:val="00352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ECD2">
    <w:name w:val="OECD2"/>
    <w:basedOn w:val="LightShading-Accent1"/>
    <w:uiPriority w:val="99"/>
    <w:rsid w:val="00352F37"/>
    <w:rPr>
      <w:color w:val="auto"/>
    </w:rPr>
    <w:tblPr>
      <w:jc w:val="center"/>
      <w:tblBorders>
        <w:top w:val="single" w:sz="12" w:space="0" w:color="auto"/>
        <w:bottom w:val="single" w:sz="12" w:space="0" w:color="auto"/>
      </w:tblBorders>
    </w:tblPr>
    <w:trPr>
      <w:jc w:val="center"/>
    </w:trPr>
    <w:tcPr>
      <w:shd w:val="clear" w:color="auto" w:fill="FFFFFF" w:themeFill="background1"/>
    </w:tcPr>
    <w:tblStylePr w:type="firstRow">
      <w:pPr>
        <w:spacing w:before="0" w:after="0" w:line="240" w:lineRule="auto"/>
      </w:pPr>
      <w:rPr>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EDF0F7"/>
      </w:tcPr>
    </w:tblStylePr>
    <w:tblStylePr w:type="band2Horz">
      <w:tblPr/>
      <w:tcPr>
        <w:shd w:val="clear" w:color="auto" w:fill="FFFFFF" w:themeFill="background1"/>
      </w:tcPr>
    </w:tblStylePr>
  </w:style>
  <w:style w:type="paragraph" w:customStyle="1" w:styleId="tableparagraph0">
    <w:name w:val="tableparagraph"/>
    <w:basedOn w:val="Normal"/>
    <w:rsid w:val="00352F37"/>
    <w:pPr>
      <w:tabs>
        <w:tab w:val="clear" w:pos="850"/>
        <w:tab w:val="clear" w:pos="1191"/>
        <w:tab w:val="clear" w:pos="1531"/>
      </w:tabs>
      <w:spacing w:before="100" w:beforeAutospacing="1" w:after="100" w:afterAutospacing="1"/>
      <w:jc w:val="left"/>
    </w:pPr>
    <w:rPr>
      <w:rFonts w:eastAsia="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BulletedNote"/>
    <w:pPr>
      <w:numPr>
        <w:numId w:val="2"/>
      </w:numPr>
    </w:pPr>
  </w:style>
  <w:style w:type="numbering" w:customStyle="1" w:styleId="Heading2Char">
    <w:name w:val="NumericNote"/>
    <w:pPr>
      <w:numPr>
        <w:numId w:val="3"/>
      </w:numPr>
    </w:pPr>
  </w:style>
  <w:style w:type="numbering" w:customStyle="1" w:styleId="Heading3Char">
    <w:name w:val="NumberedNote"/>
    <w:pPr>
      <w:numPr>
        <w:numId w:val="1"/>
      </w:numPr>
    </w:pPr>
  </w:style>
  <w:style w:type="numbering" w:customStyle="1" w:styleId="Heading4Char">
    <w:name w:val="1Paragraphlist"/>
    <w:pPr>
      <w:numPr>
        <w:numId w:val="11"/>
      </w:numPr>
    </w:pPr>
  </w:style>
  <w:style w:type="numbering" w:customStyle="1" w:styleId="Heading5Char">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314">
      <w:bodyDiv w:val="1"/>
      <w:marLeft w:val="0"/>
      <w:marRight w:val="0"/>
      <w:marTop w:val="0"/>
      <w:marBottom w:val="0"/>
      <w:divBdr>
        <w:top w:val="none" w:sz="0" w:space="0" w:color="auto"/>
        <w:left w:val="none" w:sz="0" w:space="0" w:color="auto"/>
        <w:bottom w:val="none" w:sz="0" w:space="0" w:color="auto"/>
        <w:right w:val="none" w:sz="0" w:space="0" w:color="auto"/>
      </w:divBdr>
    </w:div>
    <w:div w:id="167410035">
      <w:bodyDiv w:val="1"/>
      <w:marLeft w:val="0"/>
      <w:marRight w:val="0"/>
      <w:marTop w:val="0"/>
      <w:marBottom w:val="0"/>
      <w:divBdr>
        <w:top w:val="none" w:sz="0" w:space="0" w:color="auto"/>
        <w:left w:val="none" w:sz="0" w:space="0" w:color="auto"/>
        <w:bottom w:val="none" w:sz="0" w:space="0" w:color="auto"/>
        <w:right w:val="none" w:sz="0" w:space="0" w:color="auto"/>
      </w:divBdr>
    </w:div>
    <w:div w:id="452096426">
      <w:bodyDiv w:val="1"/>
      <w:marLeft w:val="0"/>
      <w:marRight w:val="0"/>
      <w:marTop w:val="0"/>
      <w:marBottom w:val="0"/>
      <w:divBdr>
        <w:top w:val="none" w:sz="0" w:space="0" w:color="auto"/>
        <w:left w:val="none" w:sz="0" w:space="0" w:color="auto"/>
        <w:bottom w:val="none" w:sz="0" w:space="0" w:color="auto"/>
        <w:right w:val="none" w:sz="0" w:space="0" w:color="auto"/>
      </w:divBdr>
    </w:div>
    <w:div w:id="549879456">
      <w:bodyDiv w:val="1"/>
      <w:marLeft w:val="0"/>
      <w:marRight w:val="0"/>
      <w:marTop w:val="0"/>
      <w:marBottom w:val="0"/>
      <w:divBdr>
        <w:top w:val="none" w:sz="0" w:space="0" w:color="auto"/>
        <w:left w:val="none" w:sz="0" w:space="0" w:color="auto"/>
        <w:bottom w:val="none" w:sz="0" w:space="0" w:color="auto"/>
        <w:right w:val="none" w:sz="0" w:space="0" w:color="auto"/>
      </w:divBdr>
    </w:div>
    <w:div w:id="20865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fatf-gafi.org/publications/methodsandtrends/documents/nationalmoneylaunderingandterroristfinancingriskassessment.html" TargetMode="External"/><Relationship Id="rId18" Type="http://schemas.openxmlformats.org/officeDocument/2006/relationships/hyperlink" Target="http://www.fatf-gafi.org/media/fatf/content/images/Updated-2017-FATF-2013-Guidance.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fatf-gafi.org/media/fatf/documents/recommendations/Private-Sector-Information-Sharing.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atf-gafi.org/media/fatf/documents/reports/Risk-Based-Approach-Banking-Sector.pdf" TargetMode="External"/><Relationship Id="rId20" Type="http://schemas.openxmlformats.org/officeDocument/2006/relationships/hyperlink" Target="http://www.fintrac-canafe.gc.ca/guidance-directives/compliance-conformite/rba/rba-li-eng.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fatf-gafi.org/media/fatf/documents/reports/RBA-Effective-supervision-and-enforcement.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atf-gafi.org/publications/fatfrecommendations/documents/peps-r12-r22.htm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duckduckgo.com/l/?kh=-1&amp;uddg=http%3A%2F%2Fwww.iaisweb.org%2Ffile%2F34551%2Fapplication-paper-on-supervisory-colleges" TargetMode="External"/><Relationship Id="rId13" Type="http://schemas.openxmlformats.org/officeDocument/2006/relationships/hyperlink" Target="http://www.fatf-gafi.org/media/fatf/documents/reports/BPP%20VTC.pdf" TargetMode="External"/><Relationship Id="rId3" Type="http://schemas.openxmlformats.org/officeDocument/2006/relationships/hyperlink" Target="http://www.fatf-gafi.org/media/fatf/documents/recommendations/Private-Sector-Information-Sharing.pdf" TargetMode="External"/><Relationship Id="rId7" Type="http://schemas.openxmlformats.org/officeDocument/2006/relationships/hyperlink" Target="https://www.wolfsberg-principles.com/sites/default/files/wb/pdfs/faqs/17.%20Wolfsberg-Risk-Assessment-FAQs-2015.pdf" TargetMode="External"/><Relationship Id="rId12" Type="http://schemas.openxmlformats.org/officeDocument/2006/relationships/hyperlink" Target="https://microinsurancenetwork.org/sites/default/files/Application_Paper_on_Regulation_and_Supervision_supporting_Inclusive_Insurance_Markets_3.pdf" TargetMode="External"/><Relationship Id="rId2" Type="http://schemas.openxmlformats.org/officeDocument/2006/relationships/hyperlink" Target="https://www.iaisweb.org/page/supervisory-material/insurance-core-principles/file/70028/all-adopted-icps-updated-november-2017" TargetMode="External"/><Relationship Id="rId1" Type="http://schemas.openxmlformats.org/officeDocument/2006/relationships/hyperlink" Target="http://www.fatf-gafi.org/media/fatf/documents/recommendations/pdfs/FATF_Recommendations.pdf" TargetMode="External"/><Relationship Id="rId6" Type="http://schemas.openxmlformats.org/officeDocument/2006/relationships/hyperlink" Target="http://www.fatf-gafi.org/media/fatf/content/images/Updated-2017-FATF-2013-Guidance.pdf" TargetMode="External"/><Relationship Id="rId11" Type="http://schemas.openxmlformats.org/officeDocument/2006/relationships/hyperlink" Target="http://www.actuaries.org/EVENTS/Seminars/Budapest/Presentations/6_G-V-Y_IAA_AA.pdf" TargetMode="External"/><Relationship Id="rId5" Type="http://schemas.openxmlformats.org/officeDocument/2006/relationships/hyperlink" Target="http://www.fatf-gafi.org/topics/mutualevaluations/key/fatfissuesnewmechanismtostrengthenmoneylaunderingandterroristfinancingcompliance.html" TargetMode="External"/><Relationship Id="rId15" Type="http://schemas.openxmlformats.org/officeDocument/2006/relationships/hyperlink" Target="http://www.fatf-gafi.org/media/fatf/documents/reports/Guidance-Correspondent-Banking-Services.pdf" TargetMode="External"/><Relationship Id="rId10" Type="http://schemas.openxmlformats.org/officeDocument/2006/relationships/hyperlink" Target="http://www.fatf-gafi.org/media/fatf/content/images/Updated-2017-FATF-2013-Guidance.pdf" TargetMode="External"/><Relationship Id="rId4" Type="http://schemas.openxmlformats.org/officeDocument/2006/relationships/hyperlink" Target="http://www.fatf-gafi.org/media/fatf/content/images/National_ML_TF_Risk_Assessment.pdf" TargetMode="External"/><Relationship Id="rId9" Type="http://schemas.openxmlformats.org/officeDocument/2006/relationships/hyperlink" Target="http://www.fatf-gafi.org/media/fatf/documents/recommendations/Private-Sector-Information-Sharing.pdf" TargetMode="External"/><Relationship Id="rId14" Type="http://schemas.openxmlformats.org/officeDocument/2006/relationships/hyperlink" Target="http://www.fatf-gafi.org/media/fatf/documents/reports/Financing-of-the-terrorist-organisation-ISI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eferenced-cote-metadata xmlns:xsi="http://www.w3.org/2001/XMLSchema-instance" xmlns:xsd="http://www.w3.org/2001/XMLSchema">
  <allcotes/>
</referenced-cote-metadata>
</file>

<file path=customXml/item2.xml><?xml version="1.0" encoding="utf-8"?>
<Logos xmlns="http://www.oecd.org/one.check/2016/logo" Version="0.0.0.1">
  <Logo>
    <Name>BlankLogo.png</Name>
    <Base64Image>iVBORw0KGgoAAAANSUhEUgAAAG8AAAA8CAYAAABo3+Q5AAAAAXNSR0IArs4c6QAAAARnQU1BAACxjwv8YQUAAACqSURBVHhe7cgxDQAADMOw8SfdEQiBSDn8+LZFCjMOmHHAjANmHDDjgBkHzDhgxgEzDphxwIwDZhww44AZB8w4YMYBMw6YccCMA2YcMOOAGQfMOGDGATMOmHHAjANmHDDjgBkHzDhgxgEzDphxwIwDZhww44AZB8w4YMYBMw6YccCMA2YcMOOAGQfMOGDGATMOmHHAjANmHDDjgBkHzDhgxgEzDphxwIzB7gGlisJ45YqDdgAAAABJRU5ErkJggg==</Base64Image>
  </Logo>
  <Logo>
    <Name>FATF-EN.png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NJJREFUeF7tnQl0VdXVx0VxrIITDq0TdYGC4lCtQ9VqobocqFaloKuKCHUotc5jnbXa9S31w3lmCGQmgQQIQYYQJgMBwhCMqKAREJHZCcOU/f1/h3fSy8t9yePlkbg+ctf6c98799xz9v6fffbe59z7wm7pu+02UvheWCF8vYsAXdF5JAQsF2wXxfJmAvgnqnBXQjMBzQTwT1ThroRmApoJ4J+owl0JzQQ0E8A/UYW7EpoJaCaAf6IKdyU0E9BMAP9EFe5KqJ+AjAhiXQsrTwTxthVWrwFy1E1AmpASweAQ+HLqxRKC6wMF6vI9WM9/DrZVH6g3RNiRe5HP9xmF2ATQQdoee9jg/fe3wQccYIN/8YvaaNXKndNatKh1P0DQlD33tKzjjrOMgw9236PrcC9tDGndevu2Y2DIQQdZ2n77/ZcA5IvIUauu5B6i6+gR3W8EsQlA2FEnnGCfvvKKffbGG/aJznwOYtHbb1vF889b3vHH2wDV90JxHiSk7ruvzbn3Xls/b5599vrrliqh+qs8M1KHz7lt21rFc8/Z4vfe29bHq6+68yf9+m1DpAwsfOklqxwyxEquu87e1b1ZbdpYxbPP2mLJ8cnLL9eSD7k/e+01KzzllFiWEE5AqoDZTrriCqvvqN60ycZecom9ofooxv10hIDjLr3UqiP1Nq9da4V//GNNPfC6MEpltnVrpFZ8x+w77rD/1b15p51mG7/5JlIa+5h2/fVugNArStdwAlCAEZzQubNrYEtVla0oKrLKjAxbmpu7DcOG2TfFxbb4/fct91e/qrEAP/oDZPoLX3jB3e+P+U8+ae/oGqMBAe8LOZoelYMH2+rp021pdrZ9kZZmKydPtq0bN7p71s6aZZXp6fal+l5dUmKVqamWfcQR9pruzT/xRPv+009dvW8rKuxL3b9EcPLl5NjXo0fbVyNH2pjf/GbHLICKWEBRly6u8Q1ffWUjTjrJdYrDQUFAHc7UD5q/M8/27e37Tz5xinz/2WdWvWWLrZMyGYce6q77aeDJ9m29KhSee65VrVzp+p7ao4ezFKaLr0c/EJnfoUMNAXMfesiVvSdQz9cFjLyXLwrxEzDyrLOc+cIkJHh4Zn0HdIYgxV27untXTZ1qU665xr6NkDDh2mtdO9T393hSOaPsmIsvtqoVK9z902680d5UGRbm60AeJOYFCXj0UXtXVgdR0TKGmL5HfAT8tHy5jdGoBB1YEP4+Pjvm99rLFr35pru3Qo6MUflSZum+/+c/TngE8/cG26LuePkObwElPXu6qYISwb4hOUjAAk2vQSIA5x0to5cvBHFawLJllqcp8IrKGAmIAAgWrQhlw1R3w9Klch5bbMott9gLKpv34IOurbWzZ1uW5jAkhAlHeTQBkBKM/ZyjCZhz//3Osij3MiILAxLdRwDxEYAwRd2725COHW1Yp06We/LJlnvqqTb8zDMt99hjXX3AKKEAXpfjBwmXo1AKAeMuuMC2/PCDVcvjT7rhBntbZdH9gkQJ+FhhMF3hLkuyeRmH//a3Nky+KKNlSydfdF9CbAJgzkcBq662TQpjVfIFG1evto0SbtP69bZ1wwYrf/rpGhOFtBQlKZWZme62z1NS3Ei8JQw58EBbnp/vyon5/SUU9THXYN+JErBFsmz8+msXFp2MhEeRTVTIUJKFpQb7iSBOAnRUb95s1eqEuA84IGKSHBxCcw/KFsgqqlatcqM9sVs3FzlQFEc248473X3fLVxoQ9u1c8QkiwCUrVa4dkA+TT+wQInSICVk3B/sJ4J6CCBJ0bFp3Tore+opGyfTntKnj0PJ3XfbJHnotL33dl4XvKe0tiyi5Jpp0yxFo9xP5RDwspCtrK+KkZFFTfnrX900iDbNRAlYorykSHWLBeSbetttViJZco85JpbyoB4fECFgw5Illql093mVEaYYVeI1n2k8W2D0U2TmyyJmvm7+fJuuuT5Dipbdc49NV/o6U0KtLy9310l+Boo8HFbQChIloFTKvqgyMsSgjD5B8+1HIT4nGAyDWQICe9A49RGy4Oyz3bSI59jwxReWpwwtehokSgBhkIUXvigoYx3Kg/gJKDznHCdIdIN8x/z77767zX3gAVef7G+t0taVSpXXlJbaGqW5nFdOnGjryspq0twZffs6AhDat5coAeVPPGEDRQCy1KN0EMkhAMtIPewwtzbg+Kqw0Hn9FC1Ds7ViyzzkEHfGHLOPPtpWyz9wLMnKcmuGoJn+vAiIRIG6CKAuQhf+/vdWrZFl4TT15pvdfKQ+IdKDRIVkau4jj7h2f6ystBFnnOGUSYiAwGKo/PHHk09A8WWXucY3f/utfXDhhU64YON8JloQZj5VIsLxw6JFli3PS12cI3U8mJt4/pEic6uI4vjouedc9EBw2kSxoiuvtC0//uiul956q2srmgDaGaFk7CflJhyk2DjVpBHgwqCUrtLor5dHH63FUJgFQFSOFF6p5fKmNWscES4iCNF1cUpYAtFi0TvvuFxheV6epUU2SqiPsmP/8Ae3kiT5mqpcwidavj3agSiWw2tnzHD15sj/DNIaJGkEgKESdPzll7sNj6wDDtjOWXlQNrRVK5t41VU2UelytnxBfUJwnT2EKb17O3PPYPtKZdzDOVuZ2wT1O0lL4Vz5jrB+qZepER8rP1WsennKMVJlScgdXbcOhBMAvDCYGmy7DoWwenSKdZDtYRF1hR/KAY4Pn8CIU+7b5kxf9EmEiEUm9eiXer7fWH3WgdgEeHiBw64F4evFKwT14iEq7FoQvl48dUNQPwH/z9FMQDMB/BNVuCuhmYBmAvgnqnBXQjMBTUJAMHkJIqzuTkbjEIByZH0+fSW9ZbEUBGVc8/UaiZSdR4BXGqXI08n5ye1ZW7BuCIPP/zmzOmRNsJOJSD4BXmCW014hlrOZWjIXdO5sU2+6yeY9/LAteOIJm//IIw58nqfzlJ49XZ2c9u1tSMuWNQsdFk607S0jus8GIHkEeOEYOZRmRHPatbMPe/VyLymsmjzZPbio76hSnXWlpbY0Pd3K7r/fhp9xRk2bWBFLY/oKkyEBNJwAP+KMEqOVsvvuNuGaa9wbHSjS0OP7hQvdGyDF111naa1buyU0FkWfSSCiYQQgBPMUxTHXom7dbGlmpm2NbGcl9di82VYUFNiMu+6ylL33dnv/OM4GTouGEYCDY+RzOnZ0I86js8Y4lg0bZqMvushZA/03gITECPAjn9KihU27+mr7bsGCiGiNd1QtXWrT//535xfwN8iUAAkNI6C/CJjRp09EpCY4tm61j/79b0cC4TUBS0h8CtARoY6t6IX9+kUkapqDF7V4EOP3F3eAhIYRADA/XqRcVVQUEadpjq9GjbLMww5zgxImbww0zAl6ponRw04+2X78/POIOE1zVKakWGrslyHC0DACACT4UFjcvXtElMY91s6c6XKFWbffblmtWjl5wmQNQcMJADgfWGcOltx8s22K8xF5Igevz62cMMEWv/WWS6mLr73WvYdEOGTNESZfHUgOAViBJ4GEqFAxemlGhnsTJOFD9/KSFSl0ZVqaWytM/ctfbMz551vm0UfbQEUgMkK/kIIAEqMw+epAcnwACRHgM04In8Cb2kVdu9p85fOsBZaPGGHfVVS4V2R4hY6cf8OXXzoFV4wZ494l4IUmEqryhx5yL1oOO/10y2jb1r0RznoAC/NxP6gwcnh42eLEjhHgO0FZ5hkmB1A6uK7nOz7B5+3usZU8dN4pp9jI886zEeecYyN/9zsbcdZZNlQKZv3yl5Z93HGWqlBGXe7BkojtKIzytOufETZA4WjER4DvyCuHou6haJs2lv/rX1thp0425rTTrFDgxeSCE090D0yp6wlgxBg5P4oeXEdBzn4e+/bp1yc3SVA2DHUTQKeMNgIhGEIN1/wbI9OcdOmlNutvf7M5//iHzfnnP23OnXc6zL37bptzxx02U86wuEsXy9ZUgAjaCyoTD6Ll2QmITQACMOKMSpqWuKM6dLBp8rhz+vZ1Ss7T3AZz77nHyqRwmYhwZwEi5j3wgC149FGb0bOnZR9yiBvlsH6aGLEJcE5tr72s8NRTbZrW94zyfDmneffe60Z4tmLuzFtusZmyglk6R4Py2SJlweOPW+lNN1nWwQc7KwrrqwkRTgDKp+6xh40/91xb8K9/2dz77rM5WofPuu227RW+9dY64epqxfbRY49ZSbdu7ic0TIdGMu94EE6Ac0D77GMf9ujhCIhXYQdfN4KZvXvbbJFAO7x4SfzGp/xMSAgngBCXrdg7o1cvZ/qhyqOcRtiNsiyDKYGiZaqPX8BPeOATmD6QUKgogcenj58BCbUJ8DE+76ijtimkeVxLaZ3LdG2+pgaKzZfDI+GZK/8AAaWBeqU6l/bp4+p//PTT9vFTT1mBFk44RR/qgv0nG7RfRx/hBAyWmfJTs7kaudnMeynAQoOfwOHdURplCXU4yGKZ9lglNQUdO1r+McfYMOUHDkp+/Od8JTsF7dvbh0pnIZX8AafonG2S4ZUm7OJz6nC+MQhQ2PtApjpPpuzNl/QUMlBgYufOVqAFSJbCG6+4pSpaYDWEzbqAMIPlW0aKqKILLrChhx7qypJFglcaWZhmZKIu/Eq+dA1qyD0xCFAEGKdUteKZZ9x8Lrn+eht75pmWoxHN4HW5li23U4wOMWfA/bHAdU9EttLegnbtLEtnHxkQPihLffAj7b8z0qTgZJjpInrc5ZfbsoIC9xLlIPk0+g/eL4QTQAgkncW0RyhHz5TSQWUB9agfFCAe+PoIm63cgIwy98gj3TY3owUJ9WWMXEcZRpk1gwfRZbRC98cvvmhrSkrcS54cvMLfP3yfoDYBgE7S99zTPZ6iURQPYS9h0D4EDpBZjpJD5KezPPiAAMzWL4KC6wSvJNeow7oiTaadf9JJNk2+aKFWnCvGjw/dlVogSx4gi4hlAd9EFTpQOTjSyQYk0Mc78jdFSrF/kuCrpkyxEmWZBRrF0Vox5shx8ouUHEWkD+QzxghjZZXTVWfxgAHul6Q8OeL3S3Udcx9+2AaIrBACvoGAiqjCRgMkYGFva8rNUkjl4CXpH7/4wn4QeEeZ3xnwKxP2Dni7nJ/w8Y7xjhyE4oEiOoSACggYLlQHChsVzGf8ASSUy1R3xsFb7yHRBp1zIeAFYWuksEkACcz5/vLUS9LTI2In52BTjpwGS4siAJ1fgIBbI1+CFxsVTAXAVhp7++vnzt0mfRKO5YWFlnnQQc6RR/W7WbgbAk4Xvo0UNhkggDMevkDOjl+pNOTgp35krUPlQMlsQ5w5g94NAg4Q5kQKmxSQQOTBEiZccYX7IcSOHvztgdl9+1p+p07uh1x1pNtrhPYQsKfwttBkjjAI/AEkEO/zpMTn774bUS382KyowW8UFykPGH/hhZaqEfe5A/M+rA8BXXOEfSBgd+F6IaziTgHhKAjmJ8L679ShDCUGt25tY88/361M+ZsiSzIz3d8uKdNibFLXrjZKJPFXKHg+ieKMOPcy6n5axQA6t4AA0EZYKIRVTAheMa8cCH52iir0pctM2TjNUVrMr7z5DrACQpfPBlFsoBZeg7QAG6S0dqDu9bvI1PNteocaJlMA5cKhglPeW8EzQljlegHbXmEvEApkKJ1mYyVXnp3l72iN1jhleRO7dLHJV15pU6++2qZcdZVNv/FGK+3d26YqI6Rs2p//bMWXXGLjNfL5xx7r2oII2vXKUkaffn7HoXQQzwp7CDUEgGOESiHshu1ApwiAIF5ZyviR1Yjjj3fPBlCgpEcPK+3Va9t+gpbS7AOwtxjcLfI7Rm5LnWv+ukycc5kcGltztBsc5TC54gTOr4Pg9A4SgBU8LYTdVAOUBZhrrsyxQIuRCRdd5EZyhkaSrTGnpMB2GjtENdvmUgYPzXx2W2gR+B2nYJmrQ13dx47TPJExOvL3gNz0SRzvCHsLtQgARwmhawNGOE1Kj+7QwSYrRPGMgA1PN3ooq7N7JoCiglNMo16zneZxSwKbq/runkGoj/y2bZ3VedPfQZDvkPfU6BxU3qOnUOtmZ/ZKKD44/XSrePJJm//ggzUPQtxoBZWNV8l4ofbYYyxXn0ynLGV2TIcESLhPcHPfI6i4x4FCvlCrAUyP7a/x553nhME8ZzG/w4RONiKklvNKrSwwPfIz2TA5YwCdDha203e7LwHgJGptlADnfUXCxIsvtgWPPeaeEiV9xGNB/eAXyrW+H3f22W7vEnnC5IzCSuEUoZautQoCuF0Ia2yb199nHytSmOJR2Tyt5R0JjUAEUwCfwyYtDtgNSEC2GHhc2M70PWoVBLC/8JIQ1qDreLCcYr6ysBk33OBGBa/Ps4AwwZMCLEDOdb76whJG8nthyVGPLxgoHCKE6RheGMARQqg/AHSOM8pUsjNB1uC20BWyeAjCo/NQJRJBRHFvbVP+9CfLUQgeomywHuVHC0S2MN0cQgujQILErlFYBw7eGvKOPNKFSBKYchHhnyInNDUi9xBSXR4gxQm9I5VR+r9cU4/yHwhthTCdahBaGILDhdeFsI4cvDXgIPOOOMImX3aZS3xq3iPQvHUhk+SGRAdiIsr67+5RnOoQ791jN0Kt6k9R2jxKmaBXPI45z38ddJwQpst2CC2MgVbCE0JYhw6MCMK50dE6YHibNu7VGdLiDzV6pMU8LndKykrYsABz9Bn/ATkkVx92726TtdLj8fzwww93299e8ThiP36LxV2YDrUQWlgHSCFvEJYJYZ07IGQNGQpVkJEpJXK0iuPZId6bZ4k8ePHPFdm3w7xztJ7gDyNwD3PcRZwIwvoKAJmQbV8hTPZQhBbWA8LJCQIOpt5NlCAZwPkLkcLjN/wGQFHK+AsQvl6cSgNkQBZkCg11dSG0ME6wlXaXUCXs0G6SVy4MYfVjgD7pGxmQJUzGehFauANgO+1kYYCAMI2xu0wf9EWf9I0MYbLFhdDCBMC8ay+wqbJY2CQkkwzaok3apg/62qG5HguhhQ3AXgJbTVcK/YQSgSUowm8R4pkq1KEu93AvbdAWbdI2fYT1nRBCC5OAFgKC7iccL1wn/I+QJ7D3uFrgoaz/7+/4TBnXqENd7uFe2qAt2gzrqwHYbbf/AyWWjnALq/p7AAAAAElFTkSuQmCC</Base64Image>
  </Logo>
  <Logo>
    <Name>FATF-FR.png</Name>
    <Base64Image>iVBORw0KGgoAAAANSUhEUgAAAEAAAABwCAYAAACuE3Z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MxJREFUeF7tnAl0VdUVhrHggKLVIioOOC2rYrWtItAqWqs4dTnQKtiyqGNbUHHAVqUoq3S12trlQjs4UWqdIGFIQiBzIBAIASFMAUVBUARkUhkFCri7v809r5eb815ekpfE1byz1v/y7rln2Ps/++yzz7n3pdWoVq0mKza3UEyGAGnJgIAt0cwWhC0QgCn4brYEbE4TwEcksyUhTUCaAD4imS0JaQLSBPARyWxJSBOQJoCPSGZLQpqANAF8RDJbEtIEpAngI5KZEK8rXg2Ba1+5RHhL8YbiteD7aIWvnANl6ScRaCdah/bfVCRoPzkCaODfileC66zjj4+BDl5WQEa0Xjz8S0G9MUcc4b0fBopR1n33IVweWZ3yY9q1k4xDD61RJoTkCPinIuvkk2XhE0/IptmzZe8XXxj27Ngh6yZPlkVDh8qk886zcnQWj3HuQdSsu+6ST0pLZfuKFVLYpYuMDJUJg5FFidXZ2bJp1izZMH16DWycMUM2VVZKUbdu1jaKZ594oqwaN062r1wpJT16JBqc2glAqZIrrpCda9ZIovSfrVtlep8+MRJ8bWFFGYcfLvt27w5qiSx5+mmr4yuP4FknnBCUTJxm9O4tI7Q8ZJZcckmQK1J62WVmcb72FYkJoLH8Cy8Mmtqf1kyYIOW33CJTevaUsmuvlSXPPiuyd29wVzv8wQ/ijiiKTvvRj4KS+9PO9eslo00bM9toeQgb36GD/GfLFiu7fto0WTBkiFQPGybVv/+9YbFiyR//KBPPOsssBmULL7rIypNKLr20fgQ4c12VmRk0JTL3V78ylvEFKMP3lxSF3/teUEKFnDLFBHfz1oFpQfmVr79u5TbOnCnbV62y72VXX233wuVBlID5jz0mL2geBKNUGM7Z8T0lBDCXxh97rOzZts0a+nDUKBMSlsPlIApCZvbtK0ueekry1BeQF50GKDP26KNjyky95hozf9LKN94wIX11wgQw8iiPsq6PaF8pI4COMHOXCr/73dgq4APluY/QPidoJPXrZ23t3bXLTH7KVVfZNQqOUd8A6eE6NQhQc/cRFUbKCEDguffdFzQjkv+tbyVqKCEQGGXW5OdbW+vLymwKZeoyyEpCwomxnIbrRQmY/+ij8g/Noy6EO4S9fKMRQKPhhhhlTJG8MBCIaRK2AhTJ0aVpn448ae6DD1r7KMJyRVqTl2d1w74jSsCK116T/O7dzbOXXn65YcqVV0pR167WH0QjQ8oImDNgQNBMTQIQdOyRR1rnrMGs54AOczRmCJspbc2+5x5rhyUw94wzbNQgYKquJKS9O3dKtgZW4dGMEbB5s5WJl9ap40U2NyBNQgDfi0PeP5zeeeYZUwQSmOuU/Tgnx+5trKiwue6mRcbBB8sXQYwxb9Ag69dZT7IELBg8ODZ9mowAWyVUOLdKhNPS556LEYASWawm27fbvcrbb5fnNI/2EfpZxSKNMEmfzp0bq0cf0Smw7KWXJLtzZ8k7/3zJv+ACKfj2t6VAnXPmYYfF6qSMAISr0rnqUpQAgMmx7JXonCxSa/h0zhwr+86f/xxTBEUr77jD8klYR0X//jLn3nsN0zW2+GDkSLv35ZdfSoEqhi+g/SgB8eIArMxZDdcpIYA1v/LnPw+aEZl0zjnehlCUshC2trDQyi4dPtyERzDurc7NtfxkkguNnfWECWjSZRDF8nV0XZpx663yYqQMgHkEZme3+9NPreziP/whtlTldOwY8/5Ef6vV23+iRIXxseaxcSFtWbrULAvympUABBj1ta/J1vfft4YQcJx6aUzQjS7LnZvLy1580cqRnBkz+lUPP2x5O9euNbIoC7lhsLaXaWTo0hTdfEFgsxIAUGK2bl1d2rZsmVTqNVvjjEMOkbHHHCOl1113gImvysiwegiJo2Qba/ljxlg+xHEvDNv2tm0rXyhJpPdfeMHIQ/BmJQBhUWLlm28Gze1Pe1SgHatXy64NG4Kc/Wnb8uUyTgMeOjRB1BJcwvtjLb5+AOTgIEkse+xDsBYOXdQ7Wj73kyGg6OKLrTyJYKneBGCyjA7mSBzPAYYv7f78c1v6RrVrF+uMOvMff9zu79m61Q4pMOloHw6ULwiNXEWfPjbdxn3jGzHfwoFMMgSkzAIAJGAJCMjpDPv9WXffLbOBRnflN98sOZ06mXLALUcImXvmmbbhmXTuuQeEuD5QfrT6HCJLhM467rj9fuiggyRP9yGT1S+Mb9++1na4zx6DIK34+9+3aDVBndoJCANrwFQxZef8mKsusguXddZDeRxd+J4PlKcNRgugvCOT+s5/uLx4iLaD8gnq1I2A/0OkCUgTwEcksyUhTUCaAD4imS0JaQLSBPARyWxJSBPQJAQQm7NfIDYnpq8NbKpq2/SkCI1HgFOazZKdA+hOj3PF8l697Bh74ZNPysIhQ/ZDv5PHvbzOnW03B1lstiAjutFKIVJPACPHKNr2WRWZofv65a+8Ip/Nmyeyb1+wS0+cti5bZk+MqgYNkvHHH2/tQWQjWEVqCHBbUARl1It0P//u8OGxg86GJA5blo0YISU9e9p2GCKS2RYnidQQwH4dwXg2sGbSpED01CeeO1T062f9YWE+WeqIhhHAKCBIhpr6e3/7WyBm46dPiotlgvoKfEQtBx61oWEEYO7T1HFt++CDQLSmSxzM4l8YAE6e6klCwwhgzs/86U8DkZonLfnTn4yE8HlkHdAwAnB8mOG7wasuzZV4KAMB+IY6ktBwH+ACHN76aM60JjfXZAE+WeOgYQQASGAqZJ14Yo0HJU2dPnz1VXlNA646xAsNJwBAAtEer7s1R+KB6kcZGTJn4EDJbNOm6QkALhCquP12+XLPnkC01CdesdlcXS3LR46UqgcekMlXXmnvA+OL6hEbpI4AAPMIMvH882X1xImByPVPuz/7TDYvWSIf6ujy+kz5rbfaXoG+3MYKpes478NILQEOCIdQRd27y/zf/MZebeHliR0ffWQvQ/FeMa/M8NT3s6oq2VBeLpveftveI+LJ8MLf/lam6HQad8wxMqp1a2vLbarw9CncE9SfAEyemJwgxAeEZoSwCIQnb9zRR8uETp3sQSlvkvGX54FOIZYy99iNurRBHylUOIq6EYDSKIKgCDb2qKNkwimn2MtKRRddZG+T8mg67+yzJfPww2NkOLKoh3Uwig4o6cpRhrK+vhsJyRGAUAjKSGSfcIIUXnihTLv2Wplz990y7/77Zf6DD/4PDz0k89Ubv33nnTLtmmvs/WCU87X7FUBiAlAYxSFg4plnSsVPfiLz7rtPFqpDAlX33mtvkPtAuUWPPSZz7rnHnvHTjq+PZkZ8AlB69MEH2/t4M9X7Lnj44QOV/uUva8cvfiELH3nE/mIJkFCPeL0x4SfAzdnSHj1k8RNPmPJV/fubIl5FEwESdCWo1E3TWxqkfMWmg58A53Uxeea0V7E6AkvAJ0BAI3r1usJPAKPP66ezNapjLvsUigcshTpRVA0YIIvUEop1tXB+JdpvM8BPAKPEC44IDeIqGqwA5h90hBc9+qgswGKiU0Wv52vYunjIEHln6FDJO+usr4pT9BOAcPkaziJ0zOHpXxwgeQt//WtTes5dd5mDnNqzp5R06yb5GqZOOPVUGa9en9fcDO3b23WOxgt5HIvfdJORmnPSSU3iD5huCaZcfAIIahhdFOfvQhTWkaxQhct++ENTdsyRR1p5OmDaUA/wPYrwvRwlqfSSS6w+19H+UwHadcdlvJLvK6PwE0DEVtSli5ksis/q21eKNa5nKSM2p1GnDHPZIdqOD5Sj7uhDDpFJOhX4S3upWB6Rx22Q3tIQu/SKK2TV+PF2YhRnpxjfCeade66UXXWVxe481YEUBGW0U+HA6GO0bmOZEpkaUrvzfl9ZH5ADeQinqcuL3MhI3MIziS3vvhvsKUXW5ufbz/s87fgJcEAgRivBHGoQaHuCRpj8+LHossvsGmUYRfYMKOhk4Nptgd2ucLTuN/j5Da/1L/3732VdnGO56t/9ztr1yGAEbI9kGlIxyskA0+Snrnt37JANFRWmTCG/Q9JNFSH0aA2exh93nE1B8krV/7ytK9DyESNk24oVsVfxEyW25HEI2A4ByyOZTQ5G1He8vnPdOnu8tmvjxiCnfqmyX794PmA5BOREMpscTDFIqA5+O5TqNPnyy23qePrOhoDhkcxmAfMcIVdnZQVipy7lnnaa+Q9Pv8Mh4M5IZrOAZRAh31LHtnnx4kD0hqe1BQXyxkEHmUP19PsQBJyj2BfKbDa44/VcjQ8aerLMbwyqNDR/U/c0CZbXGyAAVIcymx147CnXXy/7du4M1Ek+rS8vl9kavfLLFdphasUJsvYoTnYEjAgyvxJgCcZr52pQw5F4osS/8vi8utpOk4t69LDRRnGLExS+9gNkK0x50CvIbDKgpIsqEdpFmS6PMi4gKvjOd2ztf+/55+3/GBDacs1DESJVTq4gDNQhaLtRESPgUMV6ha9gveAUdMoBzNHBlFTnxN/Mtm1l3Ne/HrumvitHeItijCr+wYFrCHIny65eklilaKOIEQCGKnyFawWdAxe2ApRnF8bP4bI6dLClqEC32CUa0ZXpyE2/8UapuOUWmXHzzTJLAxXbaXL94x/LjF69ZKruQ0ovvdS20bRVDyUT4UmF6R0m4CjFRoWvQg2ER5e/CDdWR5HYnK301Kuvllk/+5mdGXCeMC84S1jAiTLnCRyfc61/OVjhjMCug+N1ygDuzezdW3JPP936SgEJuxSnKGoQAGDGVykGpzRPdIjV2TXyS0/OD3lOYAcmGntzgjxv4MD9x2GqvJ0u6bxN+kQ5AHXsGF7J4JAmBZbwsiKmc1h5cIRijcJX0TpG4fIbbpDK224zAd0zAkbOjWRUiQaDIzUlc5GSwJMo/IJPviTRSRHTOay8Qx+Fr6KNfqF65HeGDbMzQHtG4BO4MQAJSjJTihcwsUKfjLVgoOIAfQ+4CKFIUaMBLICOeQ7YoGcFDQDEz1AHymDUYckD6FRD1xoZAU5S7FDUaIhOMUHmffXgwTbHm5QE9SEcr5d07Wr+wCdjHKBTDV1rZIQQNzhy7HOwaUfiCq+wjQElGz9T/fjjkvfNbyY7FR5R+HT0Z4bwF4WvQSOAznnOj0OM+YRGtgamHUsp/UzQpZHB8MkXwqsKn24Gb2YEBQpfw+YTzAxbtzZrYBVgubKVIJVEMOqB4sQN03UVymzXLpnRL1FYxBcP3kwPxip8HRgYBYjgt/68N2CBjFqE+Yc6rvtR0AZtsdRWaJTIL9LpLwnlyxQ+XQ6ANzMO/qrwdWRwKwTI7tjRiLAgBuHVKgiQiAbJs9UjTIx+rwLcI2LUNR+FedSGNRF3TNQIk2kH0Ul4/zzFYQqfHgfAm5kAgxW+Dg+AE5JHY/wPMsJi4nzWcAuJVUFM2YW7Lix2K8pM9SkQWNytm/0fAad4khHgMwqf7F54M2vBbYrVCl/nMSCsmxrmqDR0JoDhmSDRZPHFF9uDF1DcpYsRxYaJ9444CndKY1FJKo5MfRU+mePCm5kE2ismKnyC1AAKoJCbuwDloiCfMpRNUmkHZEEmn6wJ4c2sAwYpdit8QjUF6BsZfLIlBW9mHdFZwQ7L+4SpkUBf9EnfPpmShjeznjhNMUyxROETOhWgbfqgL58MdYY3s4ForeC8DW9cqfhc4VMmGVCXNmiLNmnb12e94c1MMTh96a14SpGr4FkkT6R94B5lKEud2MlN46BVq/8CtJ6qPXJBDtcAAAAASUVORK5CYII=</Base64Image>
  </Logo>
  <Logo>
    <Name>IEA.png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EJVJREFUeF7NnHeYFdUZxg9RrFiCGkXFJ5ZESaxRo1K2wWVZyrJLCwICYkGN0hEEK929CCy9I13FKLiNFVYQpARh792lRA1Ro9HYMJrY2+Z9z8yZOXPm3Lu7tOSP33PmfKfM931z+sy9Ym4sejQ4F2SBIWAqeBqUgZ2gHLzqhjvAOsD0yWAgaAkaAFu9hxWrUBK3yHRs6UHZVYj3R1gK3gJVkrgRmtjT3wQlkN2N8HJgu19imU6SdKvwEDgZ9ACF4D9AN+hw8Tl4HnQBxwObHgeFVSipnYdPALdBxqbuK257+gfXMuyyeHQLwm7gWGDTK8xBtYyaV8onxL5vUzYY12W2NF2erGw4vhVkg/+ZM85BuBDYlLPHdZktTZcnK5soHovOhqw+QrvOpFpnqAwMdUyZWwjXWeBt4Chkoiur4npYU2zleJ28ntdBGvLY9dfjugyhE6kdDwBfqf9PvgP3AZv+CbEKJcprQaYD54Z8CkEFwrJkeWxpujxZ2UTxsGwCCNpgt0tiFUqCheqAxSDRTe2yZHni8unFwGowB4wHwyC/HeEQhGMRzgTPgl3gi1B9NdEhFs0HiewKYBVKgoVWgOBNaqJIOM8ByAoQ/hFhCsLTgX4f/77B+58CboCsL8Ll4B+gps4g04Ct3gBWocFEYLtBbdgDhoFfA9s9asv5gEt1LuNt97PxMLDV5WEVavBJ2CquKXyCg8CpwFb/ocIVL3XcC2z3N+ECzVaPxCqUxKNNEX4JbJXWpIlOR7whQrPeYGiSLN2U+fEzwTjwI2S6DiafIv1KhMF6XJwLXQGH08FfIXMMVKhKdVmYd5EnEqjPfo/qsZXjdeJ6WoK9wK6rE4+BE4FTRruHX3mQJ5DBr9CGLT0u+3Aj4NSjbqZjKBAiWbops+c5D+F6ENaPOHo/BkJlQwJwE/jBLZSYcHoxZMGxIZlBtjRdnqxsorgvqwueA6aOSu9vQKi7BCIuG4H9yesE018AdUPKJTPIlqbLk5VNFA/LngG6nrrefwJ63pAz2gGzkB0/nQsiDmC1U9aWpsuTlU0UD8t43hHsMr7eP4EbgZffufAVeElmVqjCejwo+whcDJw6XObE8sT8+BNi+e7pYpnGit0zxKKKyTLdLGMlqJt/rccT4eerD/aBsD1xt3W4+f1CsWhjQG/5hdS1DSc9OG+7lS6EwXTGo9uGiFHbh3o8tHWgmLZrjFi1d65YXJkfVBzhvPhElJsYCG31J4wnksWiqeBHYNr1LfCOEfUC3AfoGatjCdDLyydORyypnCru3thTpBU0Fi2LUj3SCpqIrutyxD0be4sHt/aXDiFLkZ/hPOkQBxpFhzBtARwrW5Nxv1rCvY7Njjwg86iMPH1+H9gy2/gQ8HBHlQd5sgssrZwm7oIjMgqbivZrM0Erj9y1WaJ1cXORDqe0KW4heqzvKMb+ebjI3zVahjevy4Wz2iPMEZ1fbCd6lnUW43eMkA5mF1MOYUjn0Um8b1CPhHCmc9ZOQV4H8kDIyRiPdpQJfl/ym5MZd2TDgdMktaf4ZMUU+dSbFzaTjsjRHKGTA6dkl7QUWXAMnZOMSFGKuO2lbtIpy+Bo3oOOGQfnzY49jrFoGlqi5hilk3KCpiPityMM28TFmucMZwvtG+tkCMZ9uMI8C+neDedAKQ6W+TtHiVbFGSLbaBGHAltTBF2MDua4M3jzXaJXWRekZYru6zvI6zs39JAPYzEcVU13OgF670Zo2iTPPZiBJ8ucHs0MiZgCAjdZWDFJTC8fJ5s5n6bNqEOBLaltSUTC7kXn8DoLjudYlF7YRDqFXWfl7pkB3SwMAKZNm0EdJl4KDrhCH3vL4IHM74HXFDnYPYvZYdDmvnLApOI2gw4VdjmnxQW7H695TzqFg/NIDMycxjmISz1NnM3jZ0C3i7vr85ihvSasjk3gGKAqloPmmO3DNGWDRhwt2J1aFqXJVsKuNKt8gmwpCbrNMqDbxWk3nQlDvVagBhWFKYtFRwNvQGKr4IDW5cVsqYjRKk4BuaALqO/KjijqgVAXdtfHd4yUU7N0CHX2dfcHUmUjBldm4BjgCHVURh8uyDKBrJQ3WLlnJtYLAzBopput4jywGVS5xMAvgZ7niMGHQme0KkqXizzOQt4U7DjlOmC+/hzDhIUBD+kEZR8jfgGQFXLQ5A26YdB0WkVAoQlAOUIxH+h5jijsNi0KU8SATXfIh8bZRukOeJ5RDnwbsehkhmRbXR1OSScCWekKjNojtvQTzV64QXQobW0qsxaYzngFmPmOOHQIxxCOH7BJtQyyFOj2LaKQ229d6BB2BvOpiuScPnnnY6JTaVtMcy1MJW4FpjPuBWa+Iwpbazss7jjLcYW7cs8sfUDlAbFu33IK+d5CFzqEncG9i+cMtfvkkprzvUWZoWA/eBOMcmVHHTqEY1rvsj/IVarTvaUNNwPdvmcorGnL4EZHVsRZhIPS8C33yqmM/dOmCPiZiy3tqMEBlQs1LgG87uKc0+r2LaWQe3pd6BB2Bt+xSmeoFSfHCjZD7cY0/OegAWgITgNngF+B44Ge14R5M0BvcCfglHw1sOXVORtcB7IBuye7oyp/A6gL5DaBGz9Ote7M0gR8D5R9T1K4wDOcoU5QNgZxzRljZYvQnEGlCsEb4G3wIfgAHACfgRSgG6Ggk0aC14A5znwFNoFMYJajw58GvNc3wCxLvgPloA/1bIOx7eFtA53WwTPQuLsSdWzl/BudJAUmyhk+M4DmjFDLuBzYFFLwqevGkJPBGmDLr/MT4FPXy94IbHmtoKv057ECjxe464V9V8OWf7u2kUdo3GDPcL8V+M7w46sQ95wxbddYKJSpO+MCwMHSpsz3oAlQeRWrgZl3B1gPzKf9NaDDVdlrwLdAT98L2BI+dWU6X2OavbT/ptvlumNefCJfkv3g2RiL9qFxbaWgevhORH47RWfMLB8vur7YXu4ecSPFpaAZGAi+AEoRmzM6A11Z0g+cBOqAVPB3oKezW6jyvwOsl/JPAFsex6t6gGPUEqCXrYIzhihnYBHGMwxlGzegqXTGxeAjV+ijWobPe8A73VqOpvbwtkHy1Moym5wFOGYoRUxnHAdeBrqyw4FeB2kD+MRVnvfB+YBpHByVnOOKWfYYsBuoPFWRopT8fptuk2cvmBFvde0i74AGNIy7UH6MqhtuQ+7sgNdVeGDbbV0H23L8WvA5FXAxnUFDOA6odA6wFwO2inMAB0eOJ5yROCCrfCzTDrAOzlJsSaNBuiszWQRUWTpj1gC3ZeBh62eifFfknXRxcNQNt7UMMhLIMnKjhiX5Q3KjFjrdYn+mgUoR0xm9gKckYJfa7hIHFWAbeBV8CfS8nDb1eynYEuhQzjx9wCBQCbyykcKUGdyrPL1nNluG/oJJvm50nBGXnw2qgdLHlMWiRW5+idrCdw+vQqtzBlennpK1hOORfi8eD/QH7CofAVuZqlzQuCB1et+X6YxZJ0F3//gvHs2gXaplnAX8T5oTw23vZUCWYzchluO+6pzxGNCV5azwLngPcKwx4XqFgyS7Hs9IVD3tAZf8el1WOpZmVV2/psmMnht6i9V/mc+vhvjOhDZVAn4Z5DmD8Nsn03gb3kr0EJwxDOjKsmtcBi4Cv7HQCFwBrgRqJdsK6FMr+RuYBwaDuwGn6apskLM2UtW4KDIjb9dosea1hQ/Mjj0OW/Jozyhlj+6Ma4G/PFXdJMx+cKrTTWrljKZApd8BdCPYIk4Eeh3JYF6uKfQ6poEzgZ6vAFR1AKmFaVXty/qM2/Tm8/UWVUx6b3b5BNiSx9ZxCdCc4WxcGBZJJ/hjhH+t4o6MH6gdSsvgGkI3hHDQ0+tIhlmeCy0zD2c0Ofh2Lc2surYwUpVV2uPRFbunnVH8+uINCN/CJDCL455CtQoFBxLfCeo6zDtIPyWJM7ga5Z5EKUtnsLmrdE6bnDF0g/4JGgO9Hh3OEr91r83ZiLPGsUDl5eKLA6pMx7QvaVqQMal7WVfR/5V+4v6tQ057as+s43iKrjCdQYpBdc4geTxKI64zuGpkV+gOooCbJF3hqYA7Se4wqTCnSD2dcIE1F9wDmH4fGA82Aq4xOBYox5hlnwER0APsdGXkR4acTTqVZu3LKGo+4qrVNw29ck3aucO3DsbDzBNTd40R+cDmjGvANzVwxrdwRDqd0bG0DZ3REN7XW0Mi9gGuQGlUiSurKbOAevKcYWx5vJaA61LgLf5cGRyTdaBNSeSirGLnhK5dCfdYmVZnkFE1cAZbz/6llVPrP7h1oEgtaHYZByo+AXXzBHwM1EDHfcRiYMtn4zkgDQC2o0XPYHAHdOnZEdfUS+Gmt0aIOjLlYlHhGO8PoAqeHle4Bvv4TnDjeVVwxpoFlfl1Mtfm1ksrilDZzbgRt+UcyXUo4+uDpYDLbmUU4RKbcrYa7j/Ywug0btQ4HiwHnCq5wtTLcZ3Bg2aW+Re26e9ml0TWpxSk5KYXpolmBaktbypI2dOsIGXDjS80ez6jqCVWuFkj4CS9Dg+9NQRx9vvmazgf1yGcr7Hxmbdy91RxfXGOaFqQKtpgMG2NJuh4v1ZwDcHBl7vfS8AvgDypUvAIjztlHh3w2n3CDbOKmzdqUZTSoBN20g9uHSSGb8EguWWAGIRxYeiWgWLYtvtF05IckVqYKtpitWz7AsDuCJ/uwO4MDTpkcWX+zCd2jRWTd44S3CazCfLNOeHeRd/Z8lopYNnxJoTG8+hfNWse1sj6i9IxiOfIdziTdj4q3/3iAUVW7Z2dXvDawquf2ze3dekby1pPKR8vckuzRXfk4waT+XVsDjAxj9SDuN1nDhyypGLyKnSbUzlN8QMUfqvBF9I8meZWn7tbwmsqz1nIkaM1lbSQT9tORGSiHA3vVdZZvjYcvf1+0XfDLbhHL/lehJ9NcSe9qGJyXawfFrj6caf9tbvSHKm+42BeGzbjHdQ44sDfovoOIK4TAnFHVo6bX7EgPkmeeXCHiLh4ZNsgaQDhNV/78bSM1/wQ5Zb1naThHTAz6eSWZsl3M8zH0231dZD6aIX3YNxd8zSCDmUh3ZwfA0APZ12UCN3gIEFnkOA72fANddkH4D7Ej+FWXzmGX9kQXtMowmvCr3DonBnl46zwVJv5+ARZJ+o3dewNPrDopb0sn5gUvbIgYWcQ/0AkuTNUnB+BtAF+Hapeo371gicRXC7r+SWOrAXg0YJNB/6sw89rcYBOsPKawZ80oB8GblodfFHF78bqAVudtYUfu/ID3qcAxwXzfvz4JvxzCosDPDlCN6IyG5gyxh1ZU7AHOE/CRCmlx52wAuEUkArOBcH6TYK6nQ34repDYAuu/fqD8O06V9Fh/U1HGPgGmiglEhGPnoYwOLBSmWRxXcafgjpfAHBw43dWnMZzIe/ghnyy/AUiuyaP6PZDFmwFwfp5wj0eMu9LgQBH2Bnqmh+wON9n184Z4TRdnqxsOM4xg6dXifU+Ss5Q5EDGv4GwKRuW2dJ0ebKyfpxOkN9wehwRZxwcfO3QGvBT6k9AUPnDA78gmg84i9h0SIzFAZ4cYTCzTu1bhim7EHGOA/xdKn9Qxx+8JH/yutxP/wrw0HYlZF0RXghs90ssU3LTEQb2gocf/n6Vv3DiwoiLIC6X+R8YL4ENgN2LL3IY56A6D/Bdxi3genB4fv1ocYAnj0XFfwHQlKcNFcV9jQAAAABJRU5ErkJggg==</Base64Image>
  </Logo>
  <Logo>
    <Name>ITF.png</Name>
    <Base64Image>iVBORw0KGgoAAAANSUhEUgAAAD4AAABDCAYAAADEfbZbAAAABGdBTUEAALGOfPtRkwAAACBjSFJNAACHDwAAjA8AAP1SAACBQAAAfXkAAOmLAAA85QAAGcxzPIV3AAAKOWlDQ1BQaG90b3Nob3AgSUNDIHByb2ZpbGUAAEjHnZZ3VFTXFofPvXd6oc0w0hl6ky4wgPQuIB0EURhmBhjKAMMMTWyIqEBEEREBRZCggAGjoUisiGIhKKhgD0gQUGIwiqioZEbWSnx5ee/l5ffHvd/aZ+9z99l7n7UuACRPHy4vBZYCIJkn4Ad6ONNXhUfQsf0ABniAAaYAMFnpqb5B7sFAJC83F3q6yAn8i94MAUj8vmXo6U+ng/9P0qxUvgAAyF/E5mxOOkvE+SJOyhSkiu0zIqbGJIoZRomZL0pQxHJijlvkpZ99FtlRzOxkHlvE4pxT2clsMfeIeHuGkCNixEfEBRlcTqaIb4tYM0mYzBXxW3FsMoeZDgCKJLYLOKx4EZuImMQPDnQR8XIAcKS4LzjmCxZwsgTiQ7mkpGbzuXHxArouS49uam3NoHtyMpM4AoGhP5OVyOSz6S4pyalMXjYAi2f+LBlxbemiIluaWltaGpoZmX5RqP+6+Dcl7u0ivQr43DOI1veH7a/8UuoAYMyKarPrD1vMfgA6tgIgd/8Pm+YhACRFfWu/8cV5aOJ5iRcIUm2MjTMzM424HJaRuKC/6386/A198T0j8Xa/l4fuyollCpMEdHHdWClJKUI+PT2VyeLQDf88xP848K/zWBrIieXwOTxRRKhoyri8OFG7eWyugJvCo3N5/6mJ/zDsT1qca5Eo9Z8ANcoISN2gAuTnPoCiEAESeVDc9d/75oMPBeKbF6Y6sTj3nwX9+65wifiRzo37HOcSGExnCfkZi2viawnQgAAkARXIAxWgAXSBITADVsAWOAI3sAL4gWAQDtYCFogHyYAPMkEu2AwKQBHYBfaCSlAD6kEjaAEnQAc4DS6Ay+A6uAnugAdgBIyD52AGvAHzEARhITJEgeQhVUgLMoDMIAZkD7lBPlAgFA5FQ3EQDxJCudAWqAgqhSqhWqgR+hY6BV2ArkID0D1oFJqCfoXewwhMgqmwMqwNG8MM2An2hoPhNXAcnAbnwPnwTrgCroOPwe3wBfg6fAcegZ/DswhAiAgNUUMMEQbigvghEUgswkc2IIVIOVKHtCBdSC9yCxlBppF3KAyKgqKjDFG2KE9UCIqFSkNtQBWjKlFHUe2oHtQt1ChqBvUJTUYroQ3QNmgv9Cp0HDoTXYAuRzeg29CX0HfQ4+g3GAyGhtHBWGE8MeGYBMw6TDHmAKYVcx4zgBnDzGKxWHmsAdYO64dlYgXYAux+7DHsOewgdhz7FkfEqeLMcO64CBwPl4crxzXhzuIGcRO4ebwUXgtvg/fDs/HZ+BJ8Pb4LfwM/jp8nSBN0CHaEYEICYTOhgtBCuER4SHhFJBLVidbEACKXuIlYQTxOvEIcJb4jyZD0SS6kSJKQtJN0hHSedI/0ikwma5MdyRFkAXknuZF8kfyY/FaCImEk4SXBltgoUSXRLjEo8UISL6kl6SS5VjJHslzypOQNyWkpvJS2lIsUU2qDVJXUKalhqVlpirSptJ90snSxdJP0VelJGayMtoybDFsmX+awzEWZMQpC0aC4UFiULZR6yiXKOBVD1aF6UROoRdRvqP3UGVkZ2WWyobJZslWyZ2RHaAhNm+ZFS6KV0E7QhmjvlygvcVrCWbJjScuSwSVzcopyjnIcuUK5Vrk7cu/l6fJu8onyu+U75B8poBT0FQIUMhUOKlxSmFakKtoqshQLFU8o3leClfSVApXWKR1W6lOaVVZR9lBOVd6vfFF5WoWm4qiSoFKmclZlSpWiaq/KVS1TPaf6jC5Ld6In0SvoPfQZNSU1TzWhWq1av9q8uo56iHqeeqv6Iw2CBkMjVqNMo1tjRlNV01czV7NZ874WXouhFa+1T6tXa05bRztMe5t2h/akjpyOl06OTrPOQ12yroNumm6d7m09jB5DL1HvgN5NfVjfQj9ev0r/hgFsYGnANThgMLAUvdR6KW9p3dJhQ5Khk2GGYbPhqBHNyMcoz6jD6IWxpnGE8W7jXuNPJhYmSSb1Jg9MZUxXmOaZdpn+aqZvxjKrMrttTjZ3N99o3mn+cpnBMs6yg8vuWlAsfC22WXRbfLS0suRbtlhOWWlaRVtVWw0zqAx/RjHjijXa2tl6o/Vp63c2ljYCmxM2v9ga2ibaNtlOLtdZzllev3zMTt2OaVdrN2JPt4+2P2Q/4qDmwHSoc3jiqOHIdmxwnHDSc0pwOub0wtnEme/c5jznYuOy3uW8K+Lq4Vro2u8m4xbiVun22F3dPc692X3Gw8Jjncd5T7Snt+duz2EvZS+WV6PXzAqrFetX9HiTvIO8K72f+Oj78H26fGHfFb57fB+u1FrJW9nhB/y8/Pb4PfLX8U/z/z4AE+AfUBXwNNA0MDewN4gSFBXUFPQm2Dm4JPhBiG6IMKQ7VDI0MrQxdC7MNaw0bGSV8ar1q66HK4RzwzsjsBGhEQ0Rs6vdVu9dPR5pEVkQObRGZ03WmqtrFdYmrT0TJRnFjDoZjY4Oi26K/sD0Y9YxZ2O8YqpjZlgurH2s52xHdhl7imPHKeVMxNrFlsZOxtnF7YmbineIL4+f5rpwK7kvEzwTahLmEv0SjyQuJIUltSbjkqOTT/FkeIm8nhSVlKyUgVSD1ILUkTSbtL1pM3xvfkM6lL4mvVNAFf1M9Ql1hVuFoxn2GVUZbzNDM09mSWfxsvqy9bN3ZE/kuOd8vQ61jrWuO1ctd3Pu6Hqn9bUboA0xG7o3amzM3zi+yWPT0c2EzYmbf8gzySvNe70lbEtXvnL+pvyxrR5bmwskCvgFw9tst9VsR23nbu/fYb5j/45PhezCa0UmReVFH4pZxde+Mv2q4quFnbE7+0ssSw7uwuzi7Rra7bD7aKl0aU7p2B7fPe1l9LLCstd7o/ZeLV9WXrOPsE+4b6TCp6Jzv+b+Xfs/VMZX3qlyrmqtVqreUT13gH1g8KDjwZYa5ZqimveHuIfu1nrUttdp15UfxhzOOPy0PrS+92vG140NCg1FDR+P8I6MHA082tNo1djYpNRU0gw3C5unjkUeu/mN6zedLYYtta201qLj4Ljw+LNvo78dOuF9ovsk42TLd1rfVbdR2grbofbs9pmO+I6RzvDOgVMrTnV32Xa1fW/0/ZHTaqerzsieKTlLOJt/duFczrnZ86nnpy/EXRjrjup+cHHVxds9AT39l7wvXbnsfvlir1PvuSt2V05ftbl66hrjWsd1y+vtfRZ9bT9Y/NDWb9nffsPqRudN65tdA8sHzg46DF645Xrr8m2v29fvrLwzMBQydHc4cnjkLvvu5L2key/vZ9yff7DpIfph4SOpR+WPlR7X/aj3Y+uI5ciZUdfRvidBTx6Mscae/5T+04fx/Kfkp+UTqhONk2aTp6fcp24+W/1s/Hnq8/npgp+lf65+ofviu18cf+mbWTUz/pL/cuHX4lfyr468Xva6e9Z/9vGb5Dfzc4Vv5d8efcd41/s+7P3EfOYH7IeKj3ofuz55f3q4kLyw8Bv3hPP74uYdwgAAAAlwSFlzAAAOmwAADpsBVdD1ogAADtFJREFUeF7N23l8FOUZB/AHRRQEEfEoCArIfYWQhCTkJBBAroDaioCUO6GEsyH3fZI75A45Kfcl1wcLCoqg3GIEAeWwaGs/tbZqrR9bxXb7e97d2cxOHsICSegfX9mdnZ15fzPvPPO+s5EKikqbSyfwhmmwGOIgzSIRfguvwhjoBi1B2k6jEBc2si4wHkKgAt6A03AFPrO4BrVwCDZCFEyFXiBt866JCxvBSMiGs2C6S5egDCZDa5D2d9vEhXeIu2c8XAUpQGP4KxTBEJDaYDdx4W0aADUgNbQp7QMfkNp0S+JCOz0OfPSlRjWn7dAHpDbelLjQDnPg7yA15F74L0SC1FaRuLABbYGPsLTzW+Hrkyv3TiiAFOBKHwwLYQlEQDqUw0H4GG6AtD3Je9ATpLbbEBfeBBeU6yDt0CqvoMRUVb7GtHlD5UcVa9YUrS4snYXlDnCnFflp4Gs5FPbC1yDu2+JHmALStqzEhYIAkHZilc8KS4+9tqEyJCO/pFvwylzKyS+h3ZsqqbpijdoOPjdu9060A25PNXwLYntgBUjfV8SFBjNA2rDmG5zV7JKSMuc9m6toWWI+tfeOJeoX/lR7v3gaG5hBWTgAG2rKqVDe/t3oAEvhPEht4xGh9L1bBufRk7RB9jeIwlnsWFZWRrtwZueF5xI5RBI5Rm4g3zgTuUQRDYygB/DvrIg8OrCturHOuoRP0AUwtjMZ6q1fb4HOCDBuRMMFqENeQSlVlK+hvVuqaFJwFkKGE7lGdybfWBN5xx4HIh9wxMFwiaaQlALauaGSUAek/TUWLpj/Bn17uVfYrGfzRucZ+Bn0X2aHYTCoxtfg2t26vpJ8ZqcTDYogco/hoDsQmIO/ooIz3ziioTj7TlGUklNMO9ZXUK4KX0aFBRW2Crke3PWBeRZ+D/q2jwbrOvqV9S6D/kuMq6r6nM90TWU57cDZc56eRtQ3jMhDhX7WEpo9Yw2uhXeIoMf846gwZx2tXb2NinPXY3tlVICw5sClVLS6mkqzNlNJzkYqyd6Efzeo18V5v8M65Vr77MVt1trPJ/IJUJ8ZV2Q8IdAH/hI8QH2OQka4XdF2nOmh01KJ+qN7eyEYd2nv2GLg0FetgTXqc4R/Opl8w5ZS9ZEFlLxnNsUemkCxBydS7JuTKOatcZTw+iuUun0RpezE57vnUPqmUMpaG085VWmqR6gDYTkgdvaOsfATcBaeFarlxpW8QB/6A3gS1Oe4ZVFpaRnt2VRFPvPRvW1Dt4YfgINvV2H1oT0RukcGdXo5hKJPuVF07WAKO+FCEe956HhS+HE3Cj3pRGEnndW/4cddlYh3vSjuzck4GLMpfXMIZdckWnrHVvScdarXNHAQ+PL8DjiTus0ZV/gctNBHwOZhAFfkfShkL4fkqGqtunddwBmgdfNkyzIzPjh90skheCFlfOhByad9KOLtURT1zkg7+Kl/I4/4Uvix4eqAMD5A8QdepFVbl1JuRYYKX5K92dwLisUD0Be0M/+Y/gMeMmqhT1iWWXEx44q8HPdpVaVdo7UzrdkPWvCZapn2eZds6jp9ORVccaW0971uI3RD/My949RQdUDi97+kLgmuG9wLVA+ofwBcgPNd1ha0gu8tC/9geW/9Al/X66sxACkupVZeOMtDENzXGpg9Aj+BFnwkIDjW7ZlBgwKDKfWsF6Wc8W6k0Hqj0BtGqMuGe0L8gZcoY2OEuTiiDgjhl0Gt9oafd3FonhB0tSxT+Louw3W9bV0ldZ+SbO7itqHZRNBCswHki9B9V1HHSWGUeWE4ZZ33oPC3Gju0nnnbfABWnh5Cifum0+rSfFUICwpx5zBc/9oLnjlx8HqDe76ud22solFBmUQDLMXMNjTLAC30DfLDIKZXOrVwTaC4Y76UeQ6Fq0lD65n3E3raEZeAO2WvTVBdn+8I+rPP/+Fyz6F5umn9QMGKaysraFV6NYrTKqLuOONeqM621zY7CObgI2K+pv5pbR90S6CgXeMo95J7E3RvOxz2V3eKMNwZ0rYvQvgtVJhfaQ3P/9EGKw+psLrQRVixpnAThWyaRf5ZAdRt2gqcdQxY+gOHNx+A++ALFdonxkROSX++zzGJgnaOp9LruF3VhX4cnODXEAZlsAfegrNwEa7CNfgYauEo7IMqiIbZ4AK8LdugksO4/o9608ozDpTyWqA680X5VSobh+TQ/GzbJjQfndLMrZS0dRHF1DpS/qcutOoDL1q0YwL1mb9YVWpyQA/wjakbrXliYjIo5cKL5b/k0M8gNIcsgVPwLzA1kh/gJOTBC9AR5PCW4hd6GuF3zkem7erWx0E71gtdgNA4Oqk7FqpCEXnUlyLf9qfYd/0oH7ek9HOeFJA9jVqPQAHrl+aM7m0O7phsah8Q+lXiCd/jiSd9pQY3le9hN8yER0AMz92ei16+5YzbhuYzjeuBu0Yoh8bAQSsYjItU/LERVPyZCyWe8qG+c5b8hoYkW4M/GhBqij4y0pRwvFmD630NWdATrO22Vn3c8qJx/cuhd1pC40zrQ+vh1uRQ+YVTRUDRyzeoZ7o5uHOSqfXYSFPoQX9T0ikfqVH2+gfwtc6XyCHg63wn8FndD1wXzsB1+A6kbbBS6AR1bcd1z8Nfa2i+6M2hF4hnWoeP5Fow5V1yN3nGzjah4puDuySaWo6MNi3bN9aEwYrUEKOvgIMVwFwYDbz9diDt26gFcNfuD+NhGXAh5MKo3w8XRpvvGkLPt4QegQ/F0AnwH1DdOfeiu8k9aq4JAxVzcNcEE+7zpqAdE0wohPoda7jAHQCu6h7wEEj7aQxd4RU4CNssy6xUheNClrxrrqp8NwntDufBGkIFvzDc5Bo+ry748HgTDUswzVo/2YRBiz4w37ZmwVNg3PY9oSb3SXtmYbDvSFFy6BWgD6Fw8BwEHxamC65uZ6mmWRsDTEWfDvsTbmfJWPc5MG7znlMVLuzEMLzh6V+90OVQLzQTgzMEd1oWWIzPHij8dFgTTUzunqpwN7meXwMxNLtpcFzjCL/0icmhFJA1nUIP+VPBVVdKOIGxwOF6+7hnxIWwGcTAelzVPaLn1FV15qPspsEpRN0y6UEMa19cPVWdeR638yAoErcUfP+ekhYmgRjUCMGvDVgS9Db10wU3+xx4OEs0NImoN6ano6JofOYMNfJDT1H7upcHwLjAC8SQRhkfel4M3j2udQu3+BnkhtuYbXD2HNTN5AamqocS/QODafFu86wt7ayX6v734hIwLvgLiEH1MGp7Z80fnVt5Js5Cd84KwZmVgvMzuLqpK599fuDYF9NbHASXkPkUg26ffdGdMLZv9vD6N0tBDKqHBh5Or/WkkDdGU2sO45zIPxxIwSugLriGewDm6vzwsRX+HZ8xgzI+Gk68zeas/vo3X4IYVudS9BE/yr04nPoELSLqnkmYmXkhkBT8OtQPruEDMATT2n5p9MS4cFqy93kqxcSHq39zHADtBY+RpaB6P0MnTD5o5cHR1EKdbRQu79gu8F+QwjtA/dAafhipHj2vopY4+16Rc9VDydWXXVH9RzTpAdBe5IMUVm86UDYq8oy1L5jPFl+z5hB8dqXgKWAbVsLzeiccRNz+fvFSCM1dPxnd34NQQJvsAaX24h2Qwmr4aYdaN+9jNxqV9qq5SHmjwebG7wEp+GdQF7Ah3PXZIFT/Hpk0aEEwJZ72ofzLboS5vSqAiSd91GutLYknfSnmqJ/Clwi/j3tvhF23Se0FP+OSAmvcAGN5nHEUon4LcX2r4NaGx4AUnPmCft2GcXj1c1MmtfWPpMDtE9WDDz7z4W+OJowY1a2Q2xGOUSE/DuMfKbh9/D7pfW/KOHfrR9naC570S4HZR6DWiwRMRWnw0iDzU9e6BnM4KTR7HfTr2odrCI/+cAm0mxBObZ6PoDYYBHUICKUhywNp4OKF1GZMJD03bzF1n7OEHpkYRm38oqnntOW0EgeohJ8QNVAotRc2U06DKFDr8X2Xj26PuUvMT1vrGtoK/glScNYd9Ovbh4vf8Hjz6I8LqUsikSNqC26Fqsc54z23YwAuD22dXul0v3s8jUmZSSk4+3mfuKteYuz+2gt+tCOFZj6g1ovGtZSB+20fjL7UI2bbhu4CKTTbDMb1mwYXSj4gz2bRk5PCKHDLJFUniq4No9WfuFlpwfnRjBSab2FdwLwejhyPs/vyNc5H3Xan/EOhFFrTG4zfaRqqUOIAcG/A5TIweCH5oyB7xc220oL3ASk4P7F8GGyCYyqqBh6GHbYH/Q+HRsfA+J2mxXXCA4WS24p5AvXGydJYQ8m3tG+gLVjX424SUDDVeDvT8B8ESKE15p+P/x/oQjmCMTg/WHwGrOtlYWAxvcYygOGjabvBhqo7uwFPgvF7zU8fCgrBGH4UWNfhwUJ6rRd1fnWZVODYFZBCa94H6XvNSx/Kgn/A0wdPA+vnPH0suupKI1MxesMgQ11HthudBlJgvWowfq956UNZ8MN8/YDmC7BZhx8grNg/hlpwV+d7a/0N81BVCqwXD9J3m4cxlMWjoD/z08D6OQ8G+L44DLMpvl8KZ30cSGGNwsD43eahD2RwH2wALXxnUJ9xd+e/XOIJw+OTQ82jqfobPwJSWCP7ZnCNTQvTgHnwLUzRLVO/mpZdd6FR6TPUMFHYeGeQgkp4ZMfDXmk7TUMfpgH841xLwzIqwFBwZNpM44RFbwFIQSWXwRuk7TQ+Y5jbUXjFlUZnoLr3vmlwtgWkoDezBmz/DrYpSIHsoebFmKK6cYGznZtLakEKeTM/Qw3w38vdD9I2JUOgj2GZTAplD/5FJAUFrtPUFeZn5tLG67QF/sNeKeSt8B8W7YYcWAhTYCyMgUkQBPlwDnj9VJDaYEsKZQ8OnnrGm7pMxwju1sFZBzgPxmCNKQseBmn/tqRQ9tCCd51hd3DGlXsvSI2+G/x3dk4g7VMmhbLHHQbX8MBFCnC7TsILIO2jYVIoe9xlcNYL1oEU6Fb4mp8M0nbtI4WyRyME1/CTmSQ4AT+CFJQLHD/aWgI9QNrO7ZFC2aMRg2v4geSvIBIKgP83j1UQCDzPbwfS9+5ALP0PDTl5Jd7adGAAAAAASUVORK5CYII=</Base64Image>
  </Logo>
  <Logo>
    <Name>ITF_OECD.png</Name>
    <Base64Image>iVBORw0KGgoAAAANSUhEUgAAAIMAAAA0CAYAAACpUour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p1JREFUeF7dnHd8VWW2v1co0ruCimXEgqKiIl2KgDj00GvoLQkBUkkhPSEhvffeCWkkEEJv0jsoigqOo45lxrHNz3vnztx7v/f77nNO2DnsgCj+8/vj+YTs8+6Tw17PWWu97y4C4P8LZLLXL8RbbKZulhbT/KSlbYC0mhEorWcGS+tZofLA7C3SZk64tJkb8VDb+ZFT2s2P8my/MCajw6K42g52Cec6Lk78qNOS5I86LU251nlZ6qHOy9JKu6xIj+i6InNF15VZr3RblW3TbXWOdF+TS/Kkx9oC6WFfKA/aF8mDDopiecixxMS6UpHFh2VchKvUXBRJP9JB0g53ao7BZJTVtrsxjLxite2OSFJK+v3kUTKczCdeJJ3kmn9uImq7ev0RYrT/PXGfZehOGVZThoa28yLQbkE02i+MRYdF8aAE6LQkCZQAFABdlqejy4oMdF2ZSbLQdVU2KALJ+ZQyRHRfnTvsl8jQzWG7tF62T/xqXpUqCkG9DINE7MgZq213w5fstdp2RwwP8q/gReJEcsgRcpP8B4GOn4narl7PIo6kHzF6v1/EfZFhemAfypBBEf6HIqBRhEUUwc4swtJkSpCqkyDLFPzVOSQXDLyJtfl63u2xNn/2nWTo5VQssvCkvBHiKzsu3TE7DCcgG3Tb7sZiovYZr9t2RwwP8i/kGeJNThB90O+Vw8SN/IEY/Z1m+W0y+HakDKWtZgbhgVmhMIkQeSsj2CWgo1U20DKBWQKWApIPfvvRw15RCAa8KfZFavvfHrQvnGgkg6I7s0OLJQfFq3KQVDefHVSZUIH9mfQwb7sbM4na56pu2x0xPMh34WWSQYwC+1uJJ0oyo797G79BhmUtbP3QakYQWB4oQpgpI8yPMougMoJOhMZsQAnMmYDfep0AxXjQsQQMMikFg3wLbnvQka87FB3kuE7WMpiywwkZFux/p+xgkUGRZ952NywyKALN2+6I4UFuhrYkhhgF8X4TTloSo8/RyK+SYYp3DbMCWk4PQOuZIWB5QJu5WylCJEWIudUjaKXBSgRmgyYSMMiaAAx6z3Vl6Om0rRnKLGL8m4zTy6DQssNSZoeKgc1lB70MionEeow1ehn+mzxHjMY1YniQDZhIviBGgTNC9Qufk6vkDFGl5Bx5j3xJ/kWM9tPzZ/IGMfo8Gvcow2Pkc5upPmhp64+WTbKCqTxw1kAREtgsJlOGVHTWSgNF0MqCKRsw5WuZQEnQKMD6bei1vpxsR68NVqhtfK2nQo01SeGtl8GSHYYEBWrZIeP27GAtwzViPcYavQyKemI0rhHDg2yF+pbeFqzEZBNlBdmoLMvZm52V6ZuQnD6Nr71EuhKj91LYkIfIq2QBiSKXyW1/w4zqS4ze515keIH8gyUCKiu0Zp/Q0jYQMpFSzAzT9Qnx6LIsGa0XJKLl/CRmA1Oj2H21EqGAElAElQ1UJuC3XQXYJEAFHt5YqaNKh2mbGmOSQ0mhZYoovRDdHcq17LBp+xCj7GAtgyKc6MdYYy2DYhUxGqtheJB1FJDbAhSflIasjIzq2rLcJU7+CbJgXZRQBKkrzxVKIXFJaUbvdTdeIz7kErH+m2pqets+v1CGp2SK1w8ycRNkgidUryATffGGRzqmhxai64IoyHjKMSuK2SAJMjcOw31LsSK1AY+ty0eLRenouDIXnVYxKzAjtFtZCFmYC7HLhywuQMe1ZXjMtRqPOJtxUdTgoQ1V6EkZHlW/c/vDzlV4RBOjAm1WFqHtikJ0WlO0pTtLRk8nc3ZYcJK9Q4DU3N47GMmguNM6gpEMX5HOxGj8HWWoJdZB+ZGBjinMzeq7vThHpjlGibzmM0We91zdeUyATLOP0mTg65ocHP9rmUsOEv3fLiFNxv0CGbqwR/hExruj3WQvPLgwhDL4Q6b44w+r4jDILQOD3LMwMbgET9qnQ2wpxtQoPGGfjXGhVei9rgCPrS+iCHnouoYSLMrBs5uqsDznOGYmH4Zt0hEMCt6Dzg7bGfQdeNy9Fg9trIYsK0MH+wq0X1uBHhuq8ZhbLV+v0TJF29VlGBLSgEFBu/CcZ5XKEBt7OJh6iK72ldJuZb0E7HhRys+JPlDNybCf6MfpMZJBkUOMxjcrwzaiD4QinSJ0K83Pkm1FOTJwQZhIX0+RYfymvRmQL4N9RZ7ykFcXhskuZoiszIzfKoRCSXGDNH4G0vj6HWWYQsZ77JJxbmg/0xej3BLw1OIwZgcftJm3hT8pxcRgrM+oxfFLV+CYvhNt7ZLwdmgFRvqVQ2YlwaPkKEpPvIcttecQUnseG0pOIuPoBzh28yu886dvcObzv8Ot8jLarN6O3m516OhQha5O1VhacB7ZZ7+AW/V7kBXb8ABff2hjDbo5VeJZ753wrLqEgLormJ50CK/61uKB5QVjGrPD/DMyNW6t1F1hqbgVqOZkUDiSJkE105wMignktn30B97CZqKX4CIZwtIgxXlZUkwZ+s0KFXmBB3ukf7KM5kEd5d+RqN9FXvKSCesipaY4X1ITCiQ1vlBS44olLbaEP4v4u2lbSmKuJCdnSlJyhtFn0NOCZBPL53El2mvNyjDFW+Qtd9eec/zRabYf2s7YjA4zfPHoolC8uj6BZcEX8scArEmsROXh04ipOoStFYeRWHccZUcvIu/QBWypPonyk9dQdvJ97LjwMeouf4L9H3yGuqt/Run5P+HgjW8Quf86HlXfetdadFtfg0dcd2J+zjmc/OpnvP/jf+Pi3/+J2KN/wpOe9Vq26EkhSi5+Ac+aKxi1dT8WZR3HUmaZzmuLb3Z3KGmjskPr5XuZaBOl8GRLyXnnAUughhKjoCq+I71Ik8CSOcRovOISsR5/mwwjiV6ERCJKBJX6K0typM/0EJMIo/xbESXCDU0ExWgyghmij7/MXZ8s5RXxEpcTKTH5wRJV6C+xuWESnxUtcdmRkpiWrAmhBEmPLqcspZKclG39efTMIZbP9YLa1qwMY91e7LMsFKvCs9FhJjPXWDfI25swxjMNvZdFotXMUAxmiYip2I+kHYcpw2Gk7jqOrL2nkdpwBtkHLmDbiXeRfegKco6+i/zj76Pw5IcoPv0xys79Cbuu/QV7Pvwa9df/ipGRh9F2bSW6b6jFc757kXfxa+z79B/YdeMH1N/8EZe/+xeqP/gW6ac/x6Lcc3Aou4SzX/6IpXmnMS/jOCL3XsOYrXtgszg3pee6EunhUCYtl+zTGknVO5gbyZeJUVAtFBHr4Krpp9FYC6GkyT76g62+gV8TywFfTLRUn5edKeWF2dJ39haRl/mtMwV/DlEyJJh/FxnjJ9I/nGNCZEG+rUReHSHex0eK14nh4nlyqHgd5+/vjNa2bT78tgTsnSFB9QslrMpRYgqCmCmyJD1mm6TFlJnFuK0RHUzUZ/tB/d6sDOPdK56kDM8t5Ixh2HpmAQ88bBeKUc5sEEe4Y0ZwAaLK9yK+6iCiKw8iruYIEureQdKuk5oM6fvOI/PgRWQfvoq8Y9dQcPw6ik59RBFuovLSn5Fy7GNUv/slyq98iT941aO9QzWe9tkDj7rr2PHR9zj1zX+i4ZMfUffx9+QHHP3Lz7jw7X9pGSPq0E2knfwUDqUXMC7qIKL2vY/iszfRelk+Oq8pHNprXRGnmUfldf9QTYbMo+0swcokRkG1YEuaBJccIkZjLfQnjeP1BzqVWERQ6wrCqaOkpWfIrm258saKCGH+MpUClQFG+R8zy2DfKMKLFOH1ULHfMVniPhoonsdGifcxBv/Ym+JzbIz2U5OB25QYSpBNpweKx9lXxfPUYPE7OFlC6pZJVJGfljUyoir4M08SU1P1n/MVoj5jfjMyvCVTvfm5nPGQ7WZKEMKexoVCeKKfQxymBOTCNb0aPrk7mRkOaCUiruYoZTiO5PpTlOEs0vdfQNbBy8g5YpIhjzKUnr2BE+wT9n34FYaF7ceC7NMYELIfXZx24CGXnXjErR47GfhP/gntpxLi6Bc/a3KoLLGT7P30J9R//B1ST3yK+KM3kHXyE7huv4CSc59gftoRyPysalN22CZid0icisdI7WWRFFN2UKVAlQSjoCo+IDakMbhkEDEaa6GBNI63HOBu5gOsmGDeplG/PVdmucSK9OOBfoMBN4nQxyyCYpK8ye2vMGv0D5OVFVMk7dOB4n1krIbP0V/CODJGyyAeZ1+TTWdeF78DU2TrdhdJTsnUpEhOypKk1MZMobIWHdDJoBrGSeQt9+0y2gWPzAtAbGEltuZW4MU1kRi0IR6bMyuRVbMfsdv3ILCwHlHb9zfKkLjTLMOes8iwyHD0KvLfeR8lpz9E5cVP4Fh8BgM5exgQvBcJR2+if9B+dN9Yh56uu9CLMjjXfIDYdz7Dy8GHMTPrvCbBgT+bSoZFiF2Uof6jb3Hmq3/gyt/+AbusE5gcdxDFZ26gyxrOXNYUDOm5rpAyHJCnXFOl+HQLyT3e2hIwtU5gFFQLEaQxuGZUOTAaa2EN0cZaDm65OrjEwfw7y0OaVBZni3d4ssgAH9FmCyYRFA6NMrzp97q8zj7iuQhZXGKrieB1WAXXKOi/BNO+Kmu4n39ZNh95SyJLfEwNaHyRPku83ESGicxaEz1fe9s1Fj3YMNp6JyGxqBLuicVYGZmPmOJaxJTuREjBToSX1CN6+17KYMoM8Tsog8oMu08hzSLDIZUZTP3C7vc+Rfjuq5x2ZkKmZeERTiHPsO5vrHwXndbtwPMBBzAh+TSGRBxDd+d6PGC/g9/yMjhVvo8r3/+7UQZNCJaOI5/9iMiDH6OfXz1eC9iNtYWnEbHnXfRyKuM0tiDrQe2kFoWYd0yWZdnKzquN2UGxmxgF1cJAYhmraEk+JEZjFd+SB4kmw4NEiVBhPsgkTXKzMiU5IVdajQpUawkibzaKoMjXRBjN5mxoUB95PkJmpM+RlJuDrAL7GzkyrlGKwD2zJYV9hOonLEI0kWHCJmlj6+M3YG04JnrEwzEyG3/clAj/9DKE5VUhOLcaQbk1CC2sQ1jxbkRs++UyVF+8iZj972FB5nG87L8bsrAIS/LPY07WWbR3rEE/yvCoRwO6btxFURrwB+99aL12B2ZnX8Bpc//QKARluPjtf/K9TrGficcb4fuR/s7HeMq1kiIU4iHH4q8oQ7uHHAulxeI90sclRQpOtpK8460swVV13iioFg4TSTvS0Yy2zzTd60bkE00GyxlIswgmaouKZJZztMhjAewFtnKWwJ+jWQ5MMpzTZBjp/295IuahwZtXSubnr4vvO+wLmpaGDuRx8jx5jQwkA8gLRG1Xr+vHG2DKFB7nXtX6jsT0JDaZ5RQirakMql+Y5HVGhm3AAt9k2AWk4vmlWxCYVY7g7AoEZFciOG8HQgsoAzNDRNmexjKhl6GxTOhkUD1DzeVPce7zb+FQcl5bN+jlUos+3g0Mfr0mwhNee5ugxBgYflSbURz6/P/dygzsIRpusFR8+DeWmz0YumUvzn3xdziVnEbLpfnobjrtbUekh32ByNyjsiJ7imnd4VZ28DMH8TY4BpRgQ84ZG8m9IJJ9uqWkmfZTATfch68j/WiHySrwSoRQiwTqIGdEVklyfoS4HhkhK0onSZ+lG0WejRR5iQ3im34tWS5+0GR4Kfzvfdc4Scz7wyTo9Ki+3kfGrWLgsshRcpP8RHAH1Os3yGGSRuaR3sRKiLFaufA4O0BrQNXnVEI0kWG8xytPLQ3GM3ZB6D0/EKNdYjDHPw1R+ZXwzSjXZLiVGeqx1SJDJXsGiwxaz3AGGftuyZDHnqHgxHWUsKbv+eAvcCw9h+7rq9HTuRa9XHfiCc8GPO655zYZlCBdNuxCyP5PtGay/qZJhrqPvkPVtW9w/PMf2ED+CV7Vl3H4xtc499lfMTqcWWdRtjoPkqGuknrQPl9kwR55wSNKSs4wsMfaWmRQXNYCac2Rjsg63eIfYdkjHvYKXC6RxQOEv6vxD5Mfm4w1k36kAzLeaXdZHVi1tqAdYNWgZURXSGJGgngeHS2bzw+UhI+GSuS7w2UV+4EeqknrG/G0Vh4GBaP1aP/vvY+OLY1+b9h19glGwf41/C85TyJIf9JECDX7UBkigZ+xiQzj3Jc8tywE8zYnYnFQKgJSi+CbUoygzG2IK96BoJwqBLJUhBbUNsoQWX6rgdRmE7tMmcE0tbyEHDW1fOcaik5eZ9/wZx6wDzGCaX1+1ik8uWkXerrU4fFNuykDM4OVEE+SlmtqON38EJe++xfqVVZgiai9/i2q3/8GlZyaVl39C2rf/QIlZz9B7L53sTz7KFot0S6aOdtjbb4ouq1h77CgQVxKh5nWHQ43Zoc/6gOqSD3YBXmXBfE1T8NhaeTkVXPSxcPbQbJOtZD0Y9oUVTWLTfc5ZNonsmjATyYJzBkhPXo7D3I8u/o3tIOuDr5qBv2OvylJ7Aci3xsurzk5BHDmABkQigf+6APPQ+MQcnaUUVDvFyfIXHJLCE5DVfloIsMkr0gZ6QI7v0TklJTDJ6kAEbnlWB2Ri6EbYuGcWIqtRbVsIFVm2IWtpQ2UYd+tdYZatc5wAimWdYYDl5B9+AqymR12XLyBsjMfa2cfn/asw6LsU9qyc2/3nXjMo95QiC4bduKVkMONZUIT4cO/Y8cHf0X1e1+j4spfsO3iZzj48VfYfe1zTIzZh6fdK9BrXTG6rcn/vvuavE6EQuSIzDooo0PdzEvU7ANuZYcMS1BVqs880ZrZpjU2+TjAaU3wZFcXN9ng6Cdx1c9Izq1zHQcs+6iSkn1WuG8XuGzcZJJBKw2cvmkinBxOEQZpB90SAAWDPiHjswF7Z2fOBrODlhlsmCHW75yAsIsjjIKo52uiglpGYokXWUeWkoXEjqgS40JCSTbZR74ilvf4kmhSaJIeH9FUhrc8tj/LMjHfNxGvsYmc5p2IiJxtWBicgd52IZgbnIXokjrKUIstRbsQbpGh4gBiqw+zbziGpJ2UYfdppO1VfcNFFB67ioyDVzA9YT+cik/iYaftGB99ABvLL6C1Oh+hybALj226JYRWMkg7hx0YFXNcayB33zRlhB3vU4RrX2tZofzy52j44Evkn7qJ1wN2oYdjKdosV2dG2TOsZe+wOncMEUW7pWXSdWWhRDc8LqUsF+agKrqTr1VglQz5VwSh6WPhsCwSrm4uk4k4Lt8qISnjJY9ZxbzPq9p4ospD7kWBf9QscBxl0DJCuTkjjDASoR/ZTRD/4RCM3bKEMmxVswjI8ECsrZyCiCtv6AOv+IKUkw2kL2lJ9O95L6hGU4lykVwjrYn2WhMZ3nQ7ZbspFpPdY8D+Ad04vXx4YRBm+KYiNHs7/DO3I5ClIiSfTWShaXoZUcYZhbbwpGTQrzWo7HAB2ewb6i5+iMlRDWzqSuFYfApeVRcwcut+dHKo0M5LNAphyRAaDewn6tHDeSfSTn2G89/8rPUJVcwISoQd7xGWB9WQjo/eD7HNQFf7YvRkVlBXUakLabqtzllCRNF9TZbIjIMyP2mO1HGaqTuBpViqUn3OBUHS7t7Y4OAP5/XecHWlDK6u4rQ2SDaHLGbf0FLYJFr28beUlJjt/eC4Ihwuzu4/SWbEDknIjDWXhttEcCWNQVYyjAlRMjAzUAQZGILlZbZgz6Be/55kkpHEhujf537S+N5NZXD9W78lQfCIyYRrDJuwWb7oMNUHNlO98Yp9JGKKauCbWYHwwlokVTQgonQ3IrepvmEfm0h9qTiplYq0vee07KDOWuYfe4/BKsGzm6rR12sHbJaV4HG3HXjUdYd2tlITwlwyLDxBKVqsqsTALQex78a3aPjor9h2+Qvs++gbNFz/UmsaHYs5g1jG4Duo6yVLzFmhQLvOstuq7PVELMicnTLA218q+A3PPmUjLAmNZJ+ReiWDT/ASrFsZBjc3Z8rgqsngstFDNq7bLIm7HhMG37JPi5zz8n7miTbw8HTC+rWBKpP8JBFl7toyseepIdYi1JFGERQJlOHN4KWQ5yjDiADIi+GwK5xxufj7l1cGnRnd6bctNt07TWSY5PnTisAkhCZlwy8xFy4UwiU2Fx4JBVgalg3vtDJsLajB7OBczNlSgMjSeuTsPISUmoNaIxnFWUXm7hPI338GiRQi2XzCquHSdew4fx2vbK6BLCmgFGV41LnSdLGKS40mhJYhzFJYUHL0YoPZ0bEajmUXcfDmX3HoxjdwYYnpuaEKM5OPYEhQvXahzMPry9T6gj4rqMvtvAnLg4kOSwuk7dIi8a18QUpP2EjK/u6NsEF8mLOHH9etDFcSWNBkUKWCgrBUvKWkMe1zoJvaZ1hwwkSWhwiLPD+Jx5kBWv3VidCWXCBNRFA0kUFNLYcEo/tE79lvb1kilEGSPhnEKeZo1V80CdrvhV6Gl1aG/qREWB+eio0R6fBJyINfciEic8qxJDQT0/3SkFGxC6uji7AyuhjD3NLRZ20itpTsRkL1QWTVH0NM9RGEbDuEwoPnkMreIXH3GUTUnsb48J3sF0rRzaFEu45RXb6mmslHKIW6sklduKJJ4aqkMItBHnOv06ah7e0rELTrXXzy4z/Qx6kCMiUDT7hXY2r8ATzvWYXOqwvRbW0hZWBWWJNLEbLRdUWGDxELXVamS0u7Ilm43k9CfFaJ+6b1jXh4ruvgvMHrazaB6hveVAaVHVzchWVA3D2dzPtoP19S5YSvWcb/ZHSQr5LbRPA+MhbJNwbj7Qg7yLORJhnGcIr5augWeSpauvzRRyaFL5bQCyMlmVKoBajfO1PoZRhkH/ZdSKJJBmfK4BqdBfe4XGxiZgjN2obRrvFYtjUXFQ0H4JtdhbbTgynzJjxrn4y83UeRWnsYT9ina5fHp3BW0XDuKtbn7scDS7IgCzLQ16McndcUoZf5imd17aO6hE1dvaS/3E0Tw4VimOntyoyyrBTPedUh7+RHCKu/gs3VF/AHt0o8t6kKA/xrbpUHlRVWqayQqe7T2EjEgizJlWdWx4vPRgZ2nY9sdNKxbnO+i/MmfsMbRWgiA7dTBlO50O1zjILo5blNBtX03SaCQsmQdGPwhUE+K0saM4NitP8ubWVSnah6MkZ6TfWUhVmzJfbDIRJzbdg9nrC6N/Qy9FsRci4iNQe+cZnwiEqHc2QG3GJz4BGfh5CMMqyLzsdUNpNT/TPQego/9yR/tJytrngKQlhJA5bG8Bs7loLMjMELLnlaM5mz7yx6OeSh5eJMzEvcg36eFeiglozXlTK1b8Mj5qufLRe9aqVDw3Tdo/q32taborRdVYp2q0swLeEAO//3sDL7KCXLRl/37XjRczvaL89GS7t09FidjS4r0tVl+suJKLoQscuTNx22SPgmR3ExB9nMNHMwrWmUwQAnYj2+iQxLSLMicMbwgfu+8dJyROBIGcyDZpFhlP/XxHQSS529VKexmSleWLFBnHdNkPiPB0vIuVG/S5bQy9Biklf1ws3xsA9NgeOWFLhFZWjZwSMuD+7x+Vp2iC6swmSvFM42vNBiRhDazKEMk4LQ3ykVb/kXQGZHo+2iBDyyJgMvuxVgyOYytF+SzqClYXLkTsyM243Wy3K1y+SVENoV0lqWKDdd+ayukrbCclW0EqcLG0XVI3ReXYShgbVYkLwflaevoejYFSxM2o1WdmlotSgVXZenofPSlAlEFO2WpElbssrZUwLc1+uD2prcINaBVTQnQx/yb2I9vlEG1aH/gxjK4HNk7PuJHw9u+7rnKpE+UUsZdL0MirGaEJoUFEJd86CWrynGyM0rJezyGxL7wVDZfExlifsnhV4GmbAptuVET8g4d/RbHowglgytVDA7uFGI4IxSJBRX4flVnBaP24RWMwLRelYI2s4Ng41tKLouiEbnxfGwmRuDF11ysTZ1JzosTEJve+5fcAB93UrwjEuJWhCCLMpCq6W56GG5k0p/A412+bwJ7V4Jhfaa6UaaXqTjKoo3h9mr8Cj2skEtPHIJey9eg1POPk4zY9FyXsJ/dFmW8lCnJcnSmTDVykurIyWUtZ5B0xNKrINqoTkZyojR+EYZ5hBjEThl3HJhRHvXhreF00mRQSEDdRJYiCCWk1gmVJYYHCzyTKR0fXuzrCixlZRPB0rYhRH3LUs0kWGK12p1KbyMcUOnad5YH5YKr9gsbZrpk5gP39Ri9FnMjDZio3bvhLqjSrvPcnYoHpgTjtazt2r3T7SaF40HFsQhqHQfJoSUY3FCHdJ3n8Qw3214zrUYQ/0rMHFrHfp7MbWvzGdjqW6moST2ap3AfEsd5TBh+Z3cus0OYpeFAT4VKD9+FRn7ziGZzWr6ntPI40wmmA3sM07Zl2R2rHRcnKTBnkVs1/lJGGXQlYhBukAaMYXoJVDMJkZjFY0yHCNGIiheSvhoiEyOW6Bds8By0ILB/o7oZbhKmsqgUKVDZYp+LB39tsqAjfYSwNkGs8x9aTCbyDDZ63XCTp2McsGwtWEITs6BS1QmQtKLsDgwVduurpa2meKt3T9husUuuMktdh0WxkBmReHhVSmwDSvHSN8SvOJRiJF+29BnQz66sNOfHl2HsmOX4FJ4GK8xqE85c7pJKdQZR9N9l2bUvzUsN+EWaI1iKzalfZyLkb3/HPI5c1FrG/F1xyndCWw/ehb9XXPyZHqkdLJLoAgp8ujSGNnsvlE2sRFk0CwcMwfRCFUGniL68R3IF8RovOK6OqjtyX8RIxHyNh8bI3HXh8prbmuY+imDKdAniF4GRW/SVAYLKksMZVbpEyXtKYhqMBMoBKeqsvXKGxJ+cYTWV4SeG6mh/h3GbeEsL77Hm5fGSgbF+5oQb7phlFMEghOztGmmX2IevEmbqd5oO80HrYhMMd1mZ7r5Vt1zGcaSoYSIQodFsZAZkei4IB5/cMxEz1Xp6LUmE23sUtDbgeWBQvR1KcL4sGo8x/LR06GAwS1FdzUjIKa7snVo2/O12YLp7u1cNqqJmBW9A7tOX0Z87TuIrTmKskOn4Za1i6UiYlW7hXHScVG8yNxUGW8fIBGcFuqywjpdEI0IJnoRFFHEaKyFZeqgPkuMRPiZdFEyRFweLk+vXC/yAr/hpgCnEmsZbi8VeiwNZv8wrXT03+AgqyumytrtU8WhZpK47XtbXPYQliM3NqqO3La2fKqEXxkuUe8ONxTCQIZwTQaWilHrIxBCGTZwqhmYlIuhjhF4aXU47ILS2EC6s3FkEzl1s6lc6O+7nGu6G1tliLYL42AzWy1vb0H7+QmYE1ON0kNnMD+uFkOZKV53K2btT9aC24GzgUcc89HTPp99hfl5Debgq2c4qIUkbdq4Klu7f5NNIWzmJ2FVyk4U7DuJuOrDKD1wEhMCi3+SKWE92i+MFZmXIN3torWM4OPubAnq4+RnYhRQxRWil0DxBjEaa6GWiDqo6tyBkQwFRPxPvCnBZ0fJw/M5+GUG0hTcJcRahn+T1qSpBNaosqEulFGlQ4kxOEjkjUBpNdZXWozx01D/VtvU33th5QbxpAhq7SLw1GhNAlViFAYyDNNkGOuG3vMDtGmmV3QGPIiMdsU45xhM8YznZ3WGNk6VC33/0CiEqWQ8MC+KfUQsXnPLwabcelQfOY2s+ncQw8BtO3wG9un1LCmJ6LAsA48wYzy1ocC0YKQCrp7jYP6pgm8iU7urW7uhl9NHmRyJ0d5FKNp/EmX7T8A+pYbbthS3mRctHRbEiMxKkjFrmBW8mmSFUnMAm+MtohdBcYYYjVX8kzxNNBk6k38TaxnUVFMLgP/J0fLgbHcGb4slqE8QaxkUjqRp8O+EkkI1pUMphGo29aht6jVmEZshwTI9foFWUuI4K+E0V8NABsUeMc8qlvglYFtZKd52jtJkaD99M9qqK6cn8XUlA9H6h2mm/sFaCJkUgledM1B18Dhydh3RzmNEbj+AhJrDSNt5VAviSD9OF2clsIxk4WH7bHRcZnq6SxPUE19IZzVlXJaqLWypO73V7Xwzwrdh24ETyOb7P2vPae/E4Lc7LIgSmRMr3RdGiGfTrDCLGAXUQibRS6CgR4ZjLfgSbawl5aozgtYyDCXaN1DV78eXbDStIdwK5gFiLcNPpC3Rj/ttqNIywHTBba95bvLSegd5bo2TPEuakWGG1kRShqcWBuAt12i0VwL8Ud14a4YCWGRQ2LB/0AuhSsYDFEImBqL/+lSU7jmM/F2HkFV3COm1hxBFKbZwtlF37AyWxFdDpkWjw+IUtCddlqdqAb8NJcDSZE0C9SAQ9WQYmR6BhVHlOHTmHOaHU6q3Aw+0mRchbYnMiJMJa3wl0mu9OJuC1YbcJEYBVXxNuhG9COob/y9iNF5xjjSOt8igThFby/AiEdUzRL83TF5c5yDSd6s+UCuItQyKWzfV3C9UaVE/VWZSn0GbnYQ3J4PigHbvxHgPfh51zwQFUL/rBLCmiRCqh5gZwu2B6LMmHp4ZVZgeXIin1ibDLnob0nccpBQHEVe5H73XcJYyJ0Z7AFi7RYlob5fIwCeZHgFE1M+OSxK1B4CoZz+o2/7VcyC0KSyJKGtAQMFOtJi+hVKFTmg7j/+/GVHy+MJQCfDYqGUGc7AiiVFALawgjYE1U0WMxloYTRrHW2RoRf5J9DK8TrTXEzm1HB28VEvZWiNoClJXYi2ChVfIrWD+TtxBhuEqwPeKqWSoHkLNMgK1aWfbuVv4eygzSiDkLf7fpm3B+tQqVB88hlGeOcweoejIALdhb9FjeRJ6LEvSGk9T0Ik5+O0VC2O1p8O0W8CmdOZWdF8cg5jyBgxYx5IxdnNJm7nh0mo2+yjbCJnr6MVeYYM4u2iB6kuMgmlBawCtUL2D0VgLSaTJPhYZFOpqI70Ms4n2msoMS4ums6HjN3IE6/itgFQQIxn+RvTjfhfuIIMijBgG/Y4oIdQsQ3vmUyC/sYGwsWWmmB1KMUyl4wX7JEwKyGOaD+O3OxJt1TMeJoRg3OY8jPXN5/atWtAtqMUsE2xI2ZiqJ8XIlBC8tjEVvlnVaDkj5DuxDX6E/YrwPaXH3GDxcnfRMAdqKDEKqOJ/yPOkSWDJHGI0XvEZaU+a7KOXQaGuULbIkGrexgbyTdlyfqT0mMMmUk0vLWm7+UZSsZM0Cd795i4yKM4R46DfBVPZ0GcJ03qETAvCE8uj8czqOJaeEG2xymZGGPpvSKUMnD7y295i9lYt4G3NgVcPD9PgWH77tQZVpgbheft42AZkU4yA+a1mBGvPo5TJYTJgia+EeW3UB2owMQqqIoDox1qYSYzGKxaR2/axlkFhOXOpzlW0UNvUHF+tGtoVzFBXR4uM5CzgVlCayw4KdbONfux95RfI8AT5gRgG/K6Ys0RjL8EsoT0CaHoQbCiFWspWfcUg5xTMDGFGmEZZbNX5DgZ9jgq6KfAKtailVjrVPtoiF2lhG4CW0wJC+Z7aw0ltpjPrTgkWO0cPCfFsnEEompPhLNGP09OcDBXEaLyhDIpgooRQF7Fq29QV0pFXh8uTKzZYzyrUyqORCBbKiX78feMXyKAwrT38BlQvYWORQj0cjGK0pBiq0WxBMXosCkdb9hfCcvLA7BBtNmJC/dsMX1eofVSmUe/RYpp/oc1U9XBSfw2WIHlynq8EUQR3tyaBak6GcUQ/To+RDGpNwXqZuhFrCfSsIOqchXbNocoOyTcGy8y0uSwV7HibZof1xEgEC4dIZ6Lf5zfzC2VQvEUMA31PKCnM5cMiRisGlQFVgUVrc6Bvg+KYBCLcR+3bYqpvRUvtKbUmEWzMMkxfu0nCvZ2tr1kwkiGd6MdYYySDFzEaq2EkQbPEfzhEJkQvEnn+NhkUZ4iRCBa+Imrl0nq/X809yKB4lfwHMQ70r0CJoTKGKWsoQUySqJNg2k8N03abqQqOVftM8U7hvxtFUCgRnpirsoKLeDTNCgprGQwbQCusZXiHGI1rxDDozaHOXg73XcEpZuMJKz0dyF+JkQh61GLVPGJ69M+d6UfaWG1r5B5lUHQjl4lhcO8P3loGMS1sGa5tOPA1YS9yW1aYZb9Jtt6eFRTWMiwl1mOssZZhODEa14hh0I2wLD696rLWlBkMgkOeJd8TIwmsUafBt5NQoh74sYAoSVaTKPI5UVPUHsTob/0aGSxEEqNA3SfUcreFxu1/In2J9swpiwytpvP/MoG9ArNCsJezUVZQ6GUwWlMwQi9DonnbHTEMvBEWGfpvvKMMimeIKglGAtwL6llRSi6jv6HxG2RQPEOOEX3Afg/+kziSW39bJ4PYstwyK8xhVggzzgoKvQzqsjWjMdZYZPiUqMvjjMY0wTDwRlhkeMX5rjIoVAnYR4yCfDeukcnE6H2b8BtlsDCS/B5S/Eg2ky6k6d9slMGPWSFI+nAGEcqsYDWD0GNZdArRbbsbC4jaZ75u2x0xDLwR9yiDhfnkXWIUdGsOk1nE6H0MuU8yWOhPQsmnxCi4v4T/JbVkAWlHjP5Oowwyjf+PSXfNCop5RF34avRac/iQJiei7oZh4I34lTJYmEJiSAO5SNRlckdIDllH+hOj/e7IfZbBgg1Rl9Cp1J5CGsgloiT5kvyFfEGuk+OkjAQSW/IgMXrPplhkmBggzyzcfLesoBhDbK223Y23ySirbXfAVf4PRTadu0lK/W0AAAAASUVORK5CYII=</Base64Image>
  </Logo>
  <Logo>
    <Name>OECD-EN.png</Name>
    <Base64Image>iVBORw0KGgoAAAANSUhEUgAAAKwAAAA1CAYAAADcWABT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KcZJREFUeF7tnQd4F8e1twcQHUTHNuASx3YSY2zHJc5nO07cCyAwvTeB6OoVFRBFDSEhEAIVJEB0EBK9mm4wxsYNF1wSOy6pjmOn3CQ395573pUGlvWCKfKX3PvA87xI//3Pzs7O/PbMmZkzK2O6xp+XOt0STN2gJFOvR4oJeHaaqd9rumnQe2ZAg77p7Rr2y3ygUf+smCYDs8uaDs7d23RI3olmw+a/0nz4ghOBIwpeCBy5sKrFqMLZLYOLBrYcXXJz6zGlTVqHlJk2Y5eaNuOWmbbjy5Xlpt2EFQ7NQyrNbVNmm4X7mpvC/U2dnx5uVm5V6rmO+dFG+ZHS1HXsG1mk11ywq62Jigk1kRFRJjIy8gr/ZviK1I1HsM1VsPerYPNUsJ+oWEXFKipWaTYkT5oPmy/NRxRI4MhFokKVFsFF0jK4RFSs0mr04n+2GlN6QAU7XAXbwk+w7SauNA1HbTMPpcWaqleMWbC3hVdUtykblI6uY340UbYpD7iOfSNXBPvvj69I3dQINkAF+zMVbGX9XjOkQZ80QayNB82RJkMQ6zxRqyqBI1SoI1Wko4ul5ZjF0iqkVFqNKZPWY5dI63FL9ecyZamoYF9XwfZRwdb3CrbZmI2my5Qsk7PzKlNysKFXVN9XPlNmKnVqjvmBBT6pbFUQr1+ar4FgFx1oYqJjJ18R7L8pviJ1o4K9XgU7t17Paf8IqBGrugLSeKCKdfBcaTq0RqyOVVWhjlahjimV1iEqUsQ5bpm0GV8uKkxpO2HFGfg8vnyr/rzLLdj2k5YbM/igeTQjxux805j8586yst9Tfq38Q8Haur9zg2CPK6IE1Rz7ZvY3M1nL7zRRUeFXBPtviq9IXdxbp2vCO3WDkiWgV6rU7z1LxZohjQbMVrHmOmJtNqzGso7CsmrXH4JFRahnRKpClPYTV0m7SbDa+el81uP6/Wcq1lFKHQRrrewP4nPNzE03mbLD9dyiQrCfKghxc80xP9yCfVtpqfilc9HMLNwbaCLCo01EWKxvZV3hX4+fSC1d63SN/6Jut0Qx3VOUaRKggm08QP3WwTnqCuRJw8HzpMHgfLWuhWpVS9SqljkWFaGqAGtEulqumrxGWStXha5zaM9PPuvx9gh44sr/1vRTrGCvmlxuTP9jpnvuBLPrrbOsLIL9REGIf1VGKC7RncYt2H8qYxS/dF8jdso4FW2Mb2Vd4V+Pn1AhyDwT93fzTLyYbklyzbBM6TxRB1SDssT0Ugs7MEeaDZ0vd8UukweSV0tzdQWajtLBVchSaTm2XJqMXqaUS+DYlSrYtXJ16Hq5Omy9XBNeIVcrV4XpT/18tSPgtZpmjQSGLP9ni7HLp7SpcQ0CQyrNDZGFZsr6O8yyI8YKyi1YeE9hRuAs0SluwcJbSn3Fm+5rXKJg2yr3KU8r3ZVnlHuUxopf+vMRoDRVmtUCzZWGit91/KindFb6KROVBCVKGa1wX99V/M6zXGzZuZ5fPufET6w/UaF+FdAtQZr3nir1n50mrQamS+dJ+fJIUpn8MKrEmRGo02+u3DCpTB6dUSG3x6+WayaWS2v1Va/W7v6xrB3Sbe4eeThzl3w3bqNcHVEpHSMrpV3oBmk5sULaTt4gV4VvkA4R+lOF2ymiQh5M2y5dEiv/3jF01eS2WNlJamUHHDM980aa9S+fU7CwSDlLdIpXsFjZJMWb7iyKnq9vYhPHXqhgb1RilK3K68pnyh+Vr5QvlU+UE8o6ZYxCQ/rl4+Vx5aBCni9dJp8qiYrfddxcp2QoR5RfKn9TxMOflJ8rzylxyjWKNx/Kfkh5VfErj5ejyjYlT+Ehaa148zyLs8X6TPxN5qm4d9S6SucxmXLTqEwJUMHW08HWjSF5krRkq8xYtUuC0tZKr6wN0nP2Rnkmo0pyth6XrC0vyfSNxyVz26tS+vy7svzFn0v27rflwYzdKs4qCZywQe6ZuUcKnv9IoitPyrUxmx3xXqNi7pF/UKLXn5AJy1+Qrrm7f988pPwxrKwZ8pwZVtTTVKhgC9S/VFH5CfZz5UnFLT6vYIHB2u2KO91pCg82NlPnBJmIiGitmPMOuNop2cpHirdRzwUCOKlgrbBCfvlahil/UfzyuRRKFL/rAFZutvIrxe/c8/G+0kNx5zdUudSy/4dySpmrdFLc+Z7mjFifim3Uul/K0i5j0qVBjylSVy3sj8LmSsfhWdJ8QIaMyVsnueufk3kb90tO1UHJ33pUFmx/UfKU8kNvyKqjb8vqF9+T9Sd+Lutf+Uiq3vhU5u57T26esk1aTa6ULqm7Zd7hj+TQp3+S3R9+KbP2vC8DS1+UR3P2S9aeU5K69aRMWnVc4ta/JLfEVhxrOXZ5YOtxq02LkAoTsfJ+s/KYY2X9BAsHlYaKFaCfYKFKOS1SN4WHGqo7MNaET473raganlLeUfwq3PLfNfh991/KLuVWxS9/wNJgpf3OvxSKFL/r3K28qPidA/Y+znUvFh7eJgp5UvY/K37pLobfKqGKt8wuwT4Z2/P6YTPl7vHqpz4SKY16JsmNwVnSZeI8GZS5QjJW7ZAcFWxu5X7J3/K8LNz+ghTuOi6L974iJftflyWH3pLyo6dk1fEPZNVLH8rqEx9L+u5Tcl3sFrk+bquMXvmaVJ76gzz3yz/L9l98Kds++KNU6efyV34lhUc+kqIjv5CINSckc+dJGVx4QBoHL53ZfsJytbL7zKCFfc3yo8Ys2t8MUR5TvEKERMUtwpWKN83fFN8BWOGhRiZ+6kgTHhr3tUqqYZzyn4q3cr9QcAumKAMV/NhBCg35pvJPxXvOu8rPFL/reAVL4y1Rll8CO5VgxXuNR5VfKO4yAWV9WcE9wNJ3Vfoq0coaBbfH7342Koi2m+IW7B+USoVu3w31tVfh4af+/q6487OsVFopp8uOGwDt1BU41CBoinQckiqBvZOlqfqv94TmycD0ZZJctklmr9klcxzBHpB5mw+rdX1BFu16SYqfe0VKD7whSw6/LSuOvSsrXvxAIte+LNO3vyWP5RyQ1qEb5fspu6Tg6Cey55d/knVv/V62vP9H2aqC3fbBl7JVf1/z+m9k2UufSPnxjyR/v1rbTa9K54QNHzQfs6xLm/HLTf3hW03YivvN8hccK9td+ZPiFSPTXSzHOvOp+pMl3I8Vb7o3la+tlH2DYEco3spEVAuV7yl1FL/z6ioMVvDVvOcjmB8q3nO8gj2s2LwuBW/Z7lDozt1lAXzPcz1EFtyhJOXXivvcCqWBwr26BUuenMfgyguuEeA/j1R4uPzcCcR92rc1Ad0TTP2gKUG4AZ1Hp8mMolUSnFEqvacVS3JJhWSt2CKzlm+TzNUq2Iq9MrcKwR6Rgu3H1MKqYPe+KmUHT8qqF96VnN1vyjNz90nn5K2Svfc9eTBrv9wQv12+l7xbxqx6QyKr3pbH8o5KyUu/kr0f/9kR7pb3vpDNpz6Xyjd/K6XHPpTEqtdk8spjMqLkoAQML01rq4I1Q3ab+HV3mTUvnvZlSxWvEGGdYgrOTIPFKv+peNMVKKfFCucR7P9TvF00Ayqv/3Y+GKnnKLgE7nxeUFoo7rTnEmxtgFCwbO4yUKbpil/6c4HI9iucf0Bpr3Dc6xIwePSeez6o0w8Ue75lkdJIMabps1OaXz0gZeNPQ7OlV2K+xMxfJnELVkhS0VqZtbRKZi7bLOkrtkvW2t01gj0o89UlKNihgt39spTsfU1KD74p6156XxIrX5bbkrdI29ANElP5hnTNf17umPGc/HTOYfnhzP3SKnyLNJ20SZK2vScv/OZv1YLF2r7/hZSf+EzunLZDns7dJ7N3vSlPzN4pjUaWvdR23LKOjUZUmZ65Q82ifc1M0YEmCOxaxc96yqL9TUfk72hvFuxsSzqWbw+7v6/hrwv3BgYx0Co6EuDMDpSoj5wwbYRXsG0Unnx35X2uPKi4010o6Yo7L8hU3Gm+TcEyY+D2SRErFtMv7TfBFFeu8mPXscsVLFyvMLti87CQNy5B3Hfqd4//+13jM2R8ZrH0SVko04vXyrSS9TK9rFJm1Qh29lmCVQu748WzBFt+5JS6A+9L3t53pEuKWtWk7XJL0g65JnqrXB29XTrE7JBr43ZK4OTNMnb1Sdmr7sG2n39ZI9ovZNVrv5LHdQD2TN5+KVe34vakKmk0aomoYIe0G1dqTJ/9ZvqmzmbVGSvLooFXiPCuWtjvFexu5axc6WcCYP7s+t5BLere+Vs7NJ+zurPJWfc9k7vhuyYuMcS7yjVA8VbccMWd5mLASmxS3Pl9rDAAsmm+LcEyrfaa4r72BsUv7aVSG4KFm5S3FHdZmUFoZxr2mDLou8Ony63BaRKSViTDZxXLjBIVbPF6SS2tdCxsxkq1sPiwp10CtbC4BCpYxyU4cFKWPP+OM0NQdOhdeSR7r9yUsE06RG2Ra2O3qVB3yHXxOx3aRmyVH2celCUnfq2ixS34Qjae+r1seue3su71T9W6vi17Tn0qSRuOS5PgJdIqZGkW4YjNRq0xT2SONfP2tFYr2xghBipEZJ0R4t5AHbwFSG7VDbPSl9xr8ne1MYsONA3Q7yrOSrcvUNSiSuayu+Ljk0eapLR+Jjm9r4mOOSvoBb9ph+KutNUKvppNcykwQ+Cd53R3yd+WYJlSc1/z9wr+t1/aS6W2BAtMkbnLC0/hwy64f2KmjJy+UOLylkjiguUyrWi1TF+Mhd0gM5ZtkrQV2yRr9U7JtoMuXIJtOujaeVyK97zqDLpWHzsla49/IAMLD8mAoiNyR+pO6RC9WTo5glVqBNsucpvck35AFr+sglU/dtN7f5Cqt38rG07+WipUsJvf+EQqXv1QUqpekjuTNkijEYt3tg4pDWw7drEx/Xea5IrOpuxwAIKFu5T/skJcdKCJLDrYSJKznt0cOi6lZf6udtrl19d0gfe50xU930BUzJquV0F0/AQTlxxs4lJGmajos4Je7nRVlKWP4q7US4HVL+ZG3fkyGW992W9LsF7LzsPnl+5yqE3BArMP7jLPxiXYd/voWRIzp0Qic0olau4SeSJ2nvRLLVYLu0H9WBXs8i066FLBrtsjORv2S97Gw8487EJ1C4qee0WK970muTtfkYT1x+XayA0yqPiIfD9JXYGIjdIpeot0ilHBxm5X4W6XZpM2S//SE8601vYPvpCqd34nG978jax//TMV7Mey5sQvJLjssNyeWCk3hK+SFsGl77ceU3qrYpqMWGlyd3YwS5+vZwrODJiYznKEiNXMWHKvhIXGrwudkNQsKb2/WbAbK9uE6bBiJ93+ZirY+jKr8CGZPG5qvqY14WFxDp4ILUau7spizrKj4k5zqTysuPNmZcz6xV7B2pH25cCqlNsdYBqJKSu/tJdDbQuWlUSbF+zSQVfih89EZatLMEt+GjZHBqUulKEzi2VSzjL1YytkxpKNklaubsGqHS4/9lC1H1vjFqw4fFLGlh2Qp+bslMGFB2VQ4WG5IYYl2SrpGKVW1hHtVsfatpi0UZ7JPyoVb/5Odrz/uVSoZV3/xmey/rVPZd2rv5TQVS9K6wkrpUVIubQYs0TahJT+pdWYxT9RTIvgJebOKYkmd1d7O/iCTsoJRDh/6zUSmzhGVKxro6IimoWOTzF5mzs5q1ia5jvKZ8VH62kv8R2JjA6XsMkJ+ZGREX4Vxahevzurss63YnSx3KwweHPnj7/Md17BvqLcomDxLxTiGOju6yvkyQPCfK7NkweE+Ad3mWqD2hYsMzQsL9v83jdNeiR+NTgpTwamzJO7deB14/CZ8nDkXImat1xmqYVl4JVWvkkFW+3H4hbgxzJTsEDdgoXqFiw78LrkbHtZ7p5aJfelbpFbp2ySq8OIFaiUDpEbVbSbpCPugQoXN4G52ZjKk7L93d9JxRufqmX9RC3rRzJz2+tyY3QFgTDSZrwydqmoUKXV6JJuioGGw1aa9K3XmuJDDavnW5VFBxsH6SBKUvOeVrEm641FrdWba0ao4PztVztTVqTTn8EFe1pKcmZvRE0FIEq/iiJoxNsdpSp+aS+Fq5TnFXf+ExS+8woWa8g0Gg13obDMyYqanW7qr7j9ZibsWZZ1l6k2qG3BUk/unuFLc+Ow1K8mpxdIdHaRTMoscmYKxmSUSETeckkpXCfjc1ZIZMF6Z/EgU60sbsFcxy04JAuc5dljUrL3FZm7XX3OxA0SOHaFE31FUMs14RucWIEOkVWnhdtJLW6LiRvk/vQ9kn/wPdn45qcSNG+/3D1tqwTlPScdw9c44YmEKRKuSIxty+DiIEUtbInhZ8bm602RWteCPcwEtDAFu1vXmVX00JLIqAgJD43lxhzB0sXHJY82THNhjTVdmxkLHt0VHhonkRHRpDuXYFsq3vlKVnv80l4KTJchKHf+BJTwHX6yW7CXCsEz1oUZW3PMwtypXU6tTWpbsDxU7uXjr8zj4VlfhWUUSFjmQomeUywJ8xh4lcvI9MUSpqKdoQOv7imLpf3wbBmctUpy1++RmMXbZEhulRRsPeIs0U4q3SP3pVRIh8kr1TISsL3aCRt0QgjDK84IV10ExHuN/iRy67Hs56To0Cl5ZPYueShtuzySsV1+nLpJWo0tr96xMKZUxVrE/rDuirFMiIkwcfETTXTcJEuHyKjwIypQe2PVgtWbJvKKLS816W5WUX8UcSbd+QTLQMimA0Lt/NJeCgh2t+LOn398x1JobQiWiKmrFfJkedb93XHlQqPHLobaFiw93dmCfSQs6/exsxdJtBKRVSTROYslMX+ZY2VDc5fJsPQyaTs4XUyP6XLt6DxJLNMuP6xYmgzRgdmcSinZdcwJMWw6skSeztwsN0etkZbjljuB2deEVQdtO8INqxFuDVeFVkj70PXy04ydMqn8iIQuPyJdplTIj6ZWSue4tdJ+3BJpNqJIWrKZceSiJxUDjYcXmZCweBMdGeVEVtUwNTLi9E3BacFCTZpGSqFL1HAuwdKYqxR32jmKX9pLoYOCb+rO3675e10CunjW9rn+hcLKEP9ocPLspfxVsXniYgQq7jLVBrUt2O8obys2v1+bDgOmnhyYNFeGT50nEZmFEpVdIjG5ZZJcsELi81fIHePnSJ0eU6XuszOk2YAMeSCuRDqOzpdGg+dKl6gyGTZvk/wgSi2i+ppDF+yQW2NXOxP+rdXStq/ZEuPsOFCL64jXCdquDtzmeOvxq6TVuBVyd3KldJ29TeZte0kSVx2UHyWtkfqDC6Tx0AWftxhZcF/giALTbMRCc2NwjpmoAow+M1gicPofNTdkOUuwNRBp5U4D5xIsa9zeVakq5ZtCAy+UHyjegA87avcKtjZmCViNQvg2T8RLGfzSXg61LVgC4Ykxtvm9bMzTcVWKdBiYIviyUdnF6hoslqT8chmbuVjaDEgV0zVR6jt7umZKQO90aTk0RwL6Zcvj01ZI/+wNclvUUhlftF16zN4ot8askluiVjs7ZJuOXuoIFzcBi9t+souaPV3tJq7QNMulZcgy6Ze3XUr3npBl+09I3pYj8nDqagkcvuDVJkPmf6f5sHzTcGiBmagDqQQ2CVbfEJE8W2puxg0rONa6AF08XaQ3XYFi03jBKrnT/k5xL0NeDnT77ryJ3vq+wndewdbGPCxzv+4AHJZka9Mnt9S2YGcqNi9YRWjhNPNkrDToliDPRGdL3JwiictdLBE5pdKxX4qYhyOlblCSBPScqqKt3jXboF+m1O2bJR3U0vZIWyPhJdskfPEO6T1nozwyfb08MatKghftksfTNkrn+LVybbgKWK0o+7zgzK5ZBlfl0nLMEukwsVymrj0oi3Yek3nqGxftPKo+8mG5J3bpStN7jmk2JM+YAYvMsNB4E39GsCyTum/o9I0p7kEF0VZ+cZ2shds0XpgW8q5I2YHR5cBD5h3QlSn2+29DsLBUcV+TiH+/dJdDbQoW/5syuss8GcE+xA4D+PH4dEnIKXQGXxHqGnQYOE2ta5zU75Gkok2WgGdTpYFa2YZ9M6TxgNlSR0Xbevh8uWlikXQcVyg3h5bJjaFL5J6EVRK8cLsEZW2UexLXql+7UgdS1e8lQKCt2fpd846CVjq4ajW6ejYgKKtSSncfk7mbDknhtsMya/UeuWVycYLpM8eY/gXmtuB0E6oj/5goxx24VvGGuVkYFdsbZ071DcWbBiuDFbXpvHAeFth9DtdjntMv/YVC1+/OE1iksN9/W4Jl9oFtLjZfpr7YuuOX9lKpTcGyXG3zsXRGsFeZZ+I/xi24d1yaJKpgE3KKpWtsrvwsIkd+MDpNxcxmxClSt0eKI1pcgwY1270bDMgW00cJypI7IstkUuFWiVBr2y2jQjpNKHV827YhZWpBl0rbcSpMtoHz3gJmAKrnWJm20gFWobQJLpTRCzZL/qYDUrTloAyavfbPDQdkP9Zo6HzzwzFpZkpUmOMORFRPiBNJ770hYMnRTpgDa+h+gdfncwcsP1G85xHIfKkjbAZb3h0L2xV3zOq3JVjwzv2yf4tFCb+0F8K9ym2uz7Ul2GcVb5vRCzVGsPWVTPNEjHQaNE2isxZJUm6xXD9oqvxg1Cy5buh0wWXQNFKnu1paHYBVi3aWI9qAvpnSYliuPJ5SLtOX73SEhuByq/bLyPxN0njYQmkfUiLfVcvbQoWJOFuOKnZeY8S7DHilES/haDZcB1hD5svDySukbMchSVyyVQd38zfU6ZOprkCeGTY5zqTGhCJWbuhJxW+jHKtH9yv2xon68duvhMUljM2mOx/EsXrPX6xc7I5Ygp8RpzsfGtcbV/ttCpYehVUudxmOKcS3+qU/Hw8oDByZ02WajmO1IVjcPPdACxg/OD5+9faYrvF3mqfi/rtRjynSKyFHesbOkfrq02JZ63ZT64qFVcGarglSR/3Zuj2xtNMd0ZoeM+W60XkybelmKdq0V+as2y3ZyrzKfZK+do/cPHmxNB+xUFqPRpQLnZduAMeaq0iBl3E0HjxPAofNl/5Za6Wg8jl5InmJ5p02pvHAbGP6zDVB4xNNckwYN4R1e1lx35DFu0OU2QK/dCGKO935YEMc85bePDYr7Jz1O8cLlpodqd48GFR4036bggVmRtxlALbyPKT4pffCTEm4wtYWe/4eBd/cu0XmYgSLq8WWGFwVe76FOnHSWcE2VBYiysY9E6VRD8Ra7deeEesZqi1titRTS2uCUqXTyGwJzV8nY/PWSb+MFTJ92VbJVdEmlG2Rq0YvEB3lS5Oh81WYkF8Nn4fOk6ZDIE8aDsyRNiPyZGL+egnJWytNBmTuq9trVoDpNdvcPzrFxEdHGB3WUugZijdyH3jS3V01+6rclWdhesqmuVDo9t5TvHnRpTLvydq9dysKDftThUZwN66F2AS/rTVewfKwsETJw3GxELOAG8JOA5s/86/sq3KXBeixGKyyTcZv+o4y4PPiVni7a+Z16c2YOnTXOXPN9GTUjxvif5lxCVIwMoRxYkXdeQIDZbtk7WAFC12Uz/FlHTwi9VKne2K1aHumSsM+M6XloAxpPjBThZYlfdOWS6pa3B/HLnZeutFgQI60Gzlfrh1bIA0H5UrTwXOdVx05DMpx3tMVwKxD8FwZO3eN3Bgy9y+m58y+DfumG9Mrw/QYn2BSY8NwB4g6+lDx3hjdnDf6iKfbm465SHew9MXACyb8LDuVSheGoNmdgA9NA7Bniz1K3tkJulH24Z/rBRdewTLHTOAKDXqxcD7Tft5AF0TsDTe0UGa2sO9TmB6kJ+G+KYOfG8Z3dm8a03VuwSJs3DQeWC/UGWn9NjUCGx7xZd3lPkuwMB4xXiiItl6PZBXtNKmj1FU3oV6vmdJqSJbcG75Qmg7UQVl/FfGgbLkrolDuCF8k6pOqQLMdGLQ1UoE30jR1e6dJp1E5MiyzXAJ6zygK6DXdmKBZ5sHgRDMtNtzoyIkC48e4J8At3gEUFsXbjSOcqYo73cVCt1eouFeNLhSuz3wru1HPtWkRCFRxC/ZywRWxS7RumKdmBc3r014MTJW5d7VSdr9e7WJgJmOZwiyQu7wOXsEyACtTfAXqi/q6dR3h4tdOc14a10AtbpshOiDrM0uaDsiQeyMK5LZJ+SrKdGnYP8N5oVzDfvp733Rp0DdN08+Ser1nSGD/NPn+2JzD9XpNb1W/9wxjuqWZB0clmhlxju8KzI3S/bhvkK0UdFfuG/MTLBv+zmXVLhYGdusVXALvipUXxMcgj2gvBl5++bnBlXFPP10u5xKsha4ZK4wl9PYGfmBlqXNeX+TNi7Jf7Is08Fmx3tQRPc/53tnwNcFCO2W/4i/Qc1Cn65Qzvm3PqfpTLa5a3ZYD0+TmkDmOr8scrkUFiSWV+r2mO7MO9VTsdYNS3lW6NOozU12BmaZBnxnm2fFxOtg6vVDgFSyWbpRy1k0pXsEimscUb7rLhY14+HVYXdwA/DuCNRAJXSkWjIGIs+PzArlLYWaiWKHnuBzKFab1LiSUEJeHhwr/lm6eNXzcHKbh8EXZJct99lTOFelF2VmMIZ1feSxsj0ecKQpz0Pi1bj/7nPgJFjopRxVfcZ4bHaypxcVVcGYTVLx1gpL1c7Xb8HUQdrKzKFEnKFHFmsxLk02jvljXdPPAiCSTPSXUhEecLrBXsPhhZ91QDV7BEtt6vm74CmfDPDZ+LgM3prwuRPD/X/ATq+UapUrxEeaFUC1eFhzqgCNiF3zW49VpEo7p7/epYJ2/o1BXrWtgv1QzYGKsSYw5a0eAW7B0I1gF9/cWt2Dpst1zs1f4X4wxjycY84TiL9pmSoryH4qPKC+E8804ON+tVDqoYA2Crd9rmg620s1dQ5NNbuJkE3bGugKCtQsB59tP7xYs3WJt+a5X+Bdjuo6JNvcPizHmMRXtU0o3X+E+quxRPIK7LE4pIxQGesYK1vRINe0HpJoRk6OduVdPgZklYD0f/+p8EfMI1k5BMT/ol+YK/wsxM+IjVBiRpv/4aHPf0FhjHplizNO+wm2r9FP2KX4CvFB+q0QrDO5O539asN2nm1uGTDVZCWf5rhYEy4snmHD2fucGwfLihWTXsSv8H8BZm4+OijSpKlwOjJocZe4YrBYXV4EXxblEVUNL5QFlhvKC8g/FT5huPlVWK8OV65Q6ypk8nevog9I1xbTqm2ImhEfbiCwvLN/xlkDiW/2+tzA3yAj9cgI7rvBvyOlfEG6MCndqXKTjNw6bGGVCwyPNtX3j1OLGm3pY3Oo3HVrqKq2V61V0P1Ho3rGcyUqCMkHpqdyhaTooTZTT59dVoTp56s++46JNSGiU4waMC4syCeoK1AS5eGHF5kI2zzEpzosprswM/B/jawesxcVNSIiJNJNVtOPCIs3Y0EjT+tk406h7nGkSVE3THnGmQTcV9FMqPBW1UkepW/PTOVZXxdm0Jr2F408GR+t1Isx4zZsHhevFKbH+lvUKV3DwPegmSsWEgAGf0k1yTIR5QoWHpWylYvbSTAV9Y/9YFeHZ52HBWWq1+fpd9wpX8MP34LlAZG445raOfsQq3vPsuVe4wsXCf+yeJKSMpUuCcm0wA6F6DHIeqYE0vL2Z197wO1FPP1J4/TjHSENMJWmI/yQNsaSEuHGc7wm87qIwaCJkj2Ocz3X95kp5EQTnUjbS2kBhIASO79gezfKnHYjx1mlC2tyrMxxjPd09WGPNmvXwIYrNl9kFVndIz9sL3fdHNJh9MQXzwZxHZJXfH5AghI93ZfFXVWx92YBvptkGK7ydzz3lRhlY4OB63CsRUJTHfg+sQHFt2178tCGVtry2TsmLNuL6tl2oZ3d7EUfAcdrlXoWYDNsuFvTBmMAetzrxvoiZtzpS7+7dHkD8BPV2Q83v7u+oa8YltAWhmJTrCYWycO+0MXVIO3GvAZzEq2AIiSOKnkBc+w4pTmSnJUEepQrfq3F0vl+hEKlOCBrrxryDnzTkw19LISyNQGEalBdS2Dx43z1r/zQY53KcfDnOXnp3JdDAbINhIxprzwRj8/pwu7uUyCs28xHfyto97/S3DxvXp2FsXjYyyQYC8x4rFhZY2iUkkHxYB0fklBdhsy+MNXTKwP0RK0BFUsnECVBXHANbJgsB4gRFUzdENHGPNAwNzXmcz4s0qAMbFsn9cA5bQYByESjtzpeG5TjXpL4IWiF/XknEA0TelJX2IR6BWFNiEvjTS7QzdUX7kcZeg+PUHbtoJynEFVPXlJlFFwwCgqYuOI/jlJv83XGz1Avt6Y2yYoEnVklT3C9vRpDcBzoj8IWtR5SJ189TbtqATZ9sc6ed0NsITmS+0sZLYg0RHH9cgiAHGt4dCcVThJB4WhAnwdQcJ3MCPHgKqQCeFo7zdCIMb4PSEFQe+fCZJ5PFAPf8KnmypcTuIsAC08gEaCA8gjJsHCZWhutQmXzm5txbT8iLhiX87XaF5V0snP2eiuYBoxxsB8cSEJhh8wNr7WgsgrbtMQTt3TJNY4L9jNWhjhEkorDHaUTum995oBEXv2PhqUNen+5+iDnGw+Veaqb9qA8CnRGGPQ60FaLC0hKUYx8O8qTO+ONx1JtNj0Ei+MUdMshMC3GuiMpaTx5uxOauY9vWCNceA4wNdYmRImLO/r0C3jlAXRL4wj1YLVjYNMk17dZ6XgxXwi/8sTDMLWIlUyLkMeEUEotGF4Dg6Dps5fGTBuYG7QUAcfOE2p2lCAArjfixDnRZNDLWCwHZB4VulUgnLJDNixsjAt79V1CwHEQD8SBR2fY4UF4iisiDJ9Id0E15qTgqgVc4YkXd52KBiUug0qgkysXTjWXiHmgghE5aLBsPNeWicRCE21UBdnxinagPxMK9ICosoHtaDtEgEOod8WYp9jsaiLK4XRuOkQfb1rFkuB3cK+Ujaoy/XEM5uSb1bd0Q7gGBuesXqDN3XZAHn3kwaHMMAg87gdT0YjYdbh1WGd3YY7gqtD1va7HHgL+7Re/G72jBvqURg8fDS3ANAePsViBfXoxCHaFHwhjRI/eJsQzkRJY6ebqxCLxAjMbgOE8PJ1CweQoCpUvkO24Cy0Lj89lCJbIHyQqWiB/yRHjkwU98EiqKp4rGIn9+RxzWigGFRphEnvMdYuQJ5obsg2TTAjdLd0KFcJ5XsJQfdwRhcE33uRYEhhVEgNwbAdeIAMs3X6ESScc/roV4cGfscQuWDkNAF4iVpueIV/gjbl4fj4cQCz1Z+Y1CA3G/3LfbGgMCwkXi/rkPLBQ9DQ8OYqP7XKBwTb63VoswSIToFSxuBBbbfubBodwYE8L/cGkQC3VJDAdlA97eTbndeZ1PsJSJ3+lV7UPJ3zFAJ7QNsbg84NQxQqYcpKEnoSw8lI7YOcifwMEso3QsHQ0wTeHvTfE7AsHictP2ab9QwfJkYzkRKd9xUxzHOvH2PiweVgOLwZYWa3EBq4fwqBjOx0IhDLpLItLHKzYt8IDhQlDB+Ih+FpY8/Cws5eU4osdXsxaWxuFeGRxRP7gKDGD4njypGywuwnXnh6uEr4ibRJlJS3AzFW+tHmBhCX3kIaPb5HtExTWwSuTtXvygAak3HnisNu2CscFP5B+WHcFwTereDmQvVLD0fPi1WGyMDfdNm1O3GDIsL1rB30ZY7p7lfIIlBpbf8e15mCIUHgbOx//GwtJuPGDkQx1xHXoJzuN+eitH+YAP5e52qEAsAYJ1d9tu8HGwOl6fCVHyJFjfksIjRO9NYDlw4K0/Q8Phd+Iy2DRcAyvmFSYgdHwyGoXPdMtYaxqYz1yTmQObHsFQXm6aXgIrwv3Z76l8BEaFWR+WtxVay+AGq+a+b/x9RO5Og2X1/nUYGocyIxJ7jL/293LN7xgArKL9jkaid3JbZITMQIvGtMeoR8TNP69FtiA8yo0o3MfZrkPPZT9zPtYdY+FOx/Zw2sd+Jj/Ky6jeHkNoGCtvW9Oz2nZBiPSyBCXRFhxDMxhN91gJmBmgzDxsfMZQ7eMXO0LnSeDmqWgsA9aD0SINTfeAueYGOQeB8w+LZS8ANDRp7XQNgiRPmwejQMw9FgX/F+tFOvwTBlNMm9i8uAbH/AJdECiR6uSN5cQS0ivYiqaSqHj8Xe4L0fOPESnf8wfQsN5UOnmQHmuFG4LFIh/uDYuHq8T3XAMLx+DCzoxwbeqOaTx3+ahsvy0kPCxYG+oDSwN2UEGMhHuHKA8s13AbDLp+zrGzAJSfLpaekXqy7hvX4GGzgzOsJUaIQbHNC+i57AASsKB02+RLveFG4WrQLrSfTUf98LC524v6o+ej/khL3WBRhyphik3HQ4FVt+4K98lDSJ1yHuczKMfy8tcnGRBzP2pQIkf9D6pMhn33jr6XAAAAAElFTkSuQmCC</Base64Image>
  </Logo>
  <Logo>
    <Name>OECD-FR.png</Name>
    <Base64Image>iVBORw0KGgoAAAANSUhEUgAAAKwAAABACAYAAACHt5wh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L/hJREFUeF7tnQd4V0W6/4feQg9VbKvr6oJt1V11va5lVUR6UXpPqAnphYQeIARCCCW0kNBCDST0jlSlqNi7rq5le3P37u5/99773vdzkoHheAIB4n/d+8DzfMjvd86cNvOdd955Z+b8jHkm6YJUap9sKndMNVU6jTdVu0w01bpONtW7pVWt3mN6aI1nZzxY87mMuNq9ZuXX6ZN1sE7f7FdC+s87U3fAglfqDcw5UW/QwuL6gxfPbDBkSc8GQ3NvbhSWV6dReL5pPGyFaTx8pQkdscqEjlxtmows8KgbXmTajJ1pFj5f1yw+VMf76+MW5ftKFWdbEKHKD5U6zraLskivuWBvqImNjzQx0bEmJibmKt8yAkXq4hNsXRXsgyrYbBXsZypWUbGKilVC+mZL3f7zpO7AHKk3aJGoUKX+kCXSYEiuqFil4dBl/2wYlndIBTtQBVs/SLBNRq0xNQbvNA9PSzDFZ4xZcLC+X1RtlELlGmdbELWVncqPnW0X5apgv/0EitSlVLBVVbCPqGCLqnWdItW7TxPEWqt3ptTui1jnqljnS72BC6X+IBXp0KXSIGyZNAzPk4Zh+dIofLmyQhoNW6msEBXs6yrY7irYan7BhoRtMbePzTCz9zQzuUdq+EV1q/KlkqZUKt0WBBb4TWWHgniD0nwNBLvocG0TlxBxVbDfUgJF6qKCvVYFO6dK54n/qFoqVnUFpFYvFWufOVKnn4p1wAK1qirWwYhVhRqWVyJSxDl8pTQesUpCR6yW0JEF5+D78FU7VLB3u4JtOnq1MX2OmMfT482et4yZf+A8K/s95ZfKPxSsrbvPBcGeVkTpULrt4hwKMRmr7zKxsVFXBfstJVCkDvdWeib5rcodx0nVrpOkWrepKtZ0qdlzpoo1yxNrSH8V60BcAMSqTX+4WlRPqOdEqkKUpqPWSpPRsM77633X7SrYz1WsA5RKCNZa2duSskza1ptN/rEqrqgQ7BcKQtxWui0IV7BvK/WVoHQOIWbhwXomOirORI9JCMysq/zrCRKp5elKzyT9vnL7FDEdxisTpaoKtlZP9Vv7zFZXIFtq9Jkr1fuoK6D+asOwXLWq+Z5FRagqwFKRrpNmEeuVDdIscqNHU/7yXbc3RcCj1vyPpk+2gm0WscqY506aDlkjzd63z7OyCPZzBSH+VRmoOKI7iyvY/1LClKB0XyNh7HAVbXxgZl3lX0+QUKGDaZf4d9MuSUz7VGnef4Z8f5R2qHpniOmmFrbXbAnpN09+kLBSHhi3TkIGLZU6g7VzpW5Ag2GrpPbQlcoqqTdsjQp2gzSPLJTmYwqlRdQmaa40G6N/9XtzT8AbNM16qRe++p8Nhq0e27jUNagXXmRuiFlsxhbeaVa+YKygXMHC+0pD5TzRKa5gAX+2muJPdx5LX6xiElLCL0ewocqPlKeVDsozyg+UmkpQ+oqglcK1wpRYJVoZonAP1ylBx1gqKXWUkHJSVQk6z8WoogSd73KpHSTWB1Wsf6zaIUnq9pgg1btMlAa9pkub0fPl0ZR8uTNaxanW1Tw7R24YnSePTd4ktyesk+Yj1VdVN6BFxDp5fMYuaTd7n/wkfY/clLhFmkcXyTUxRdIkcrPUH1kojSNUtFGbpWX0ZhVvoVwTXSg/nrpLWicX/b1l5NrRodbK9jxpOmUPMoUvlylYyFHOE57iFyxWNkXxpzvLoiO1zOR5bUsyunz+6w0KItmqvKZ8rvxB+bPyJ+Uz5SVlnTJYqaUEnedSqK9EKLuVD5SvFHH4H+WPyvvKLmWM0kjxn6eZckh5RTldDl5U9ipLFSrFtYr/nEG0Vt5QXlaCznspcK+F54u1XdLNpm3i2ypYuS0sXW4anC5VVbBVtLP1nWHZkrp8h0xes1eembpBuszYLJ0yiuXp9GLJ3HFKZmx7SSYVn5bpO8/IsuPvy6qTH8us/e/If6TvU3EWS72Rm+WeKftk/rFPJLrwDbkmbqs0GI3FLZIOcw9L7MZXZMSqF+XpzL2/qRu+6lGsrOl7wAxY0slsVsHmqH+pwgoS7G+VJxVXgH7Bwi+UMjtqi4/WMPFJI01URHJQxrs0VmYoP1NcsVyIvymvKwgIqxN03gvBMVjSd5X/VoKuEQQCRtjDlcqKPd/1il/s5eW/lC+UPAUr796nn4eUoHNcLl+eE2vbhBoNe4xf1mbodKnRaaxUbp8s90XOkVaDMiSkZ7qEZxdK1qaDMnfLYZlddETm73hRFuw+Jdk7T8nKo2/I2hffkfWnPpCNr3wshWc+lS1vfCHZz38g3x27UxpGFMntE/fJnKOfyNEv/iz7PvmTpO37UHouOyWPzjokGfvfk4nb35KIdS9J8uaX5ZaETSfUPajbaPg6Uz+80ESvecCsOelZ2SDBwvNKVcUKMEiwUKScFanL4qM1TdKEQSYqMjEo4y0/Vd5UgjKzPFDYe5TblKDzB9FcWa9wbNA5y8sWxQoMC3m5gnX5hULr4b9ny31K0HGXy/vnBPtUQqfr+6fJvSPVT30sRkWbIjcNmSl3jJ4rvdILZMbaPTK78KBkFR2S+duPy8JdJ2TxvtOy7PkzknvodVl+9G1Z9eJ7svb0R7L2pU9k/ZnPJH3fe3J9wg65ThlS8KoUv/d72f/zP8uun30lOz/6k37/nax4+UtZ/OKnsuTFn0nMhlckY8+b0mfRYak1eMXkpiMJcT1vei/sblafMGbRoZCaKq5Til+IkKy4Ilyr+NP8TRmiuOk8yiHYocr/U/yZSBO8T5mg9FU6KgOVOUpZFpHtWJ+g67jgiz6v+I+Hj5RcZaTSVemljFVwUX6nYF39x7yj3KI0UXBb7HbcGK6zTcGVsOxU2P6WgrtDS+Gez7JQwcf0379fsORV0HXKAxV9KW4AhKor8Hz1jmOlRe+JUqdrqjJeLexc6ZO+UlLztsrM9XtlVuEBFexhmbvtmCxQwS7a+5IsPXBG8g6/IcuPvSMFJz+QgtMfe8172p535ImsI9JozBa5dcJeyXnxczmgYi1853ey/cM/yo6P/uiJdod+Xvf6LyX/9Gey8vSnMv/w+zJx6xm5LWnTR/XCVrZpPHy1qTZwh4la86BZ/aJnZTsrf1b8YvxMuVexImytBFljOmAtlbNihYsItr/iZjxQyAgGa1lWM09npZOCL+s/HsHdoQQdBw0UfFX/cR8rVJ4LdehaKOkKAnGPfU+5WaGT6Ar2beVGhWO5Z5dqpTRVOitY+78o7nlhjeIXrV+w5AO+f9B1yoWp2jHZVOuY3L5ah2T5/tBpMnnJGhk4LVc6T1gi45ZtkoyC7TJ19U6ZsW6vZKpLMKcYwb4gObtOymIEe/BVyT/ypqw58b5kH3hL/dFD0mbcTpl14AN5cMYhuT5xl3xv3D4JX/uGxG19T56cd0JyX/6FHPzsL55wt3/wB9mmlrbo7V9L/qlPJbX4NYlYc1IG5h6RqgPy0kJHqJXtu88kbviBWXf6rC+br/iFCOsUV4hJyj8Vf7q5ipvuQoK9X3ELF/Dhuij+tGVRW5mn+K3ecSXIMsFsxU0LNOuIMSh9EN9XuAbH/lpBQGzHNXBdAtyci/mjLncrdITs8ZbpCsKy6fyCPaVcynW+hqnTZWxI854Tih6KyJAuKfMkaf4qSVqwVlKXbJSpK4olbeU2mV6wSzI27CsV7BGZpy5Bzm4V7L6XJffga5J35C3Z+NKHklr0irRO3S6hkZslvugNaT//Bbl90gF5OPO43Dv1sDQcs13qjN4qKTs/kBO/+luJYLG2H/xeVr3yhdw9abe0yz4os/a9JU9k7JGag/NPhQ5f2aLGwGLTZU4/XAKz5HBtBHaDEmQ9ob9ihYhf+4LiT/OfCw/Wa88w7OJjNTyxEtIKEGxDhWbRzXSaxocVN115yVDcc8FUxZ/uxwrNuptus0I4yp/2YvAMy5Vuzja/D0uTX96evwXfmuiBe4/wpGLT+AWLyC/1OudhKrVLvKF6x+S/3jM8XUbNyJUe43Nk8tINMjF3k0zOL5KppYKdeZ5g1cJqh8sV7KoX3pPVJz+U7IPvSpvxalVTdsotqbulZdwOaR63S1rE75ZrE/dIvcjtMmzdm557sOvjP5WK9g+y5rUv5fFZz0u7OYdk1cmP5PaUIqk1ZLmoYPs0GZ5nTPdDZvLW1mbtqbNWdpBPhCUcrPfuoiO1v4sQGWrVbQ8rfzkvjaJi3T9/d9M6c4pvMNlbrzPzdrQ0ialDTdT5o1zPKm6GA/6pm+ZSILS1XXHP94mCxXLT+SsJTTZ+p5vmSqgIwcJdCvfv3utJhRaF/RUvWPVbe97Yb5K0HjpVhk5bLP2nLpXJuRtkwtKNMimvyLOw6WvUwqoPe84lUAuLS6CC9VyCw2/K8uPvehGCZcc/kEdnHpTvJO2QlrHb5dqEnSrU3XJd0h6P0Ogdcn/GEVl+5pdy8Oe4BX+QLe/9Vra++2tZ/9oX2ul6R/a/94Wkbj4ttVWwDcNXZDAdMWTwevPkjHAzd38ja2UZbt3jinDh8/Vk0ZFakrO/Qdq8nc1U2IyQhWBli89Ld7CeqEWVOUU3JqblPGKm5z5g0vN+aOKTR7iDBsQvcfbdDN+g1FDOy8RLpI3yD8U972TF7sevJaZr9/1dGaG457hSKkqwQFzYnsfe7xMK+ypesOq7LnhodLoMmJwj8dn5kppToBZ2vUzJK5TJeZtlysqtMq1gp2Ss23Ou04VLsFM7XXtOy9L9r3qdrnUn31O34CPptfio9Fp6XO6YiHXdJq08wSqlgm0Ss1PunXZYlr1U4sduVR+2+J1fy+Y3fymb3vhStr35uWx+9WcyvuhluUutbM2By3Y3Cs+rGzpsmTHP7THjNrU2+ceqIli47zwhHgqRJcerSVrO49viEkc3yEHcx6trunr36/7/tukWq6j5O2XB4zm4ASlTe5mUaT390woRjpvZ0EM5LwMvA6wPTbR7XqIMdRX24yK4+15V/Oe4UipSsOCPZBQobK94wZp2ic/fodY1ITNX4rLyJDZ7hbRNnCc9Ji2Vics2qx+rgl29XTtdKtiN+2X25kOSveWYF4ddqG7BkgNnZOmh12T27jOSsum0XBe7WXqrYG9NUVcgeou0itsureJVsAm7PEsbMnqbPJv3ihcl2PWRivXd38jmt34lha9/KZte+1w2nPmZhK98Qe5MKZYbotZK/SF5HzQKy7tNMbUHrjFZe1qaFcermJxzfuqEEiHWk9wTRjI33CrRUXEbRw9NC0md9pxZsK8RUwYJh60oSVdXrWtlmbHyHokcOW6+YsaMHusRff4I1wDFzWx6uFfUYXAgnuueG7/4AYV9jCi5+7IU//FXSkUL1l/JcBPYfq+zDfB5Wyr+48uNdrpSPmkXO0tuV9E+Gp0pA9IWywB1C0ZmrpQJ6sdOWbFFBatuwdrdjh97tMSPLXULCo6/KcPyD8tTs/ZIr0WHpfeSY3JDAkOyxXINVtYT7Q61truknna6Oi48KUXv/FZ2ffg7z7IWqmUtVHeg8NVPZczaUxI6SoUavlrqhy2XxuF5f2kYtuwhxdQfstzcnTLWZO1tYt0CuF55QztOsmB/Qxk7pY8KMXVDTGx0SOSI8SZ7WyujFpV0Nyu/wgLP3dFCElLCJXJU6nxNF5QxNPvzFTezGdkJSns5fFdBpO75iaWyjyFIu43wEXFd//FXSkULFhfgt4o9328URgSZT2G3AdEI0hJCowUrL/jKng9vanUa+1Wv1DnSa9xcuXtYutzYf4o8GpslsfNWy9T8zV7Ha9rqrSrYEj8Wt2BO0SGZRyxW3YKF6hasPPK6zNrxkvxgfLHcP3mHtE7ZJs29uQJF0jJmi1wTu/WscHETQsdskfjNb8rO93+jbsAXsul1LOunMnXn63JT/CYmwkjjEcqwFaJClYZDc59RDNTov9ZM33GtWXq0tFOlLDpcp+vSF6rK1EUPy5iRKRITHYevGcJUwXm7m3tRAC/dkVrhiw7Vlklz22JdyUBEGVQANM/FipvZk5SgtJcDY/k23GTppzB8+qGzjUgBoamgc1wJFS1YBMgQsD0fYUDEitDsNmDghdGxnyv46eWFfBimGHNjv4lfjZ6WI3GzlsioGYtl2PQlMnT6Momdu1rGL9kow2cXSPziQhm/fKs32jVrowrWcwuOygJ1C7CyeQdfkexdL8vdqUVSf/gaCR293pvU0kJF26JUtC1jEa6KVjtizCt4aMYByTn6kWx58wvptuCI3Dd5p3Scc0BaRK4rndy90puuyBzbBkOWdlTUwuYa/qZvv84sUQHmHGiglrOeUctaOX3FfSvik0dKVEQyGeMJFn80cdwQM39PExVsXdKHTst9cH9MbIy6DfGkK0uwBO0PKG5mxylBaS8HrI+/6We8v7ni9rqxVBXlhrhUtGCxfpzDno+W4XHlTmfblZKoVDI/jcr4akx6jkTNWCRx6scmz82XlAWrZOiMZRI9VztgyzZJhwl50nxApvSbtU6yCvdLUv4uGTB3i3a8SjpfkfkH5KHJKsyItdJoREHJHNjIDSVTCKM2qXCLSoSrLkLLmGL9XOxNenky86AsPfa+PJK+Rx6cslMeS98l90/aKo2GrVLrulzUb1WxLmF9WAfFWEbFR5mkpJEmPnGUpVlsbNTRmJhY+3AlgtXMpNcfnzDaprsxJi7qo+joOJvuUgSbrASlvRwQLB0t9/xMbuG67qQamllGpoLOcSVUtGAZBSP0Zs/HKCCxZL+FvRI8g2EeG5Px2/iMRRKrRM9cInGzl0nK/JUSlr5MIrJWyYD05RLad7qYTpPlhjBmbG2X26NzvdUGvbOKJXfPSfnplE3efNgn07fKd+PWS8Phq72J2S3GlEzYPidctbilNIvcpBTK4zP3SuTqExKx6gVpnbxJfjShWNokbZDQYfkSwvowFjMOWvSUYqDWgCUmfEySiYuJ1U5SnCU5Ovq8hzsrWChNU12Zq1bXTVeWYDmWc7hpZypBaS8HOh4vK+75mQvAPoZP7TaGVpln6z/+Sqlowd6qMGRsz4d/zjbiy3Yb/FJhOJvZbsy1KC85yiOKMdf2nvhW33HZMmjiXIlWlyB2Vq7EZ+XLuJwCSV5QIHeMyFSxTpDKXSZ7s7YeTs6TVmHzpXrvOdImJl8Gz98mrWPVIqqvOWjhHmmduEFqDlbrqJa2aemSGG/FgVpcBMpkbv5633V7o5FY5TXyw4lb5OmZOyRTfeGEgsNyd9JaqdYnR2r1XfD7+gNy7q83IMeEDFhobhySZUapAONiznaW7lH+qrgZc55gS/H3zKEswTK8SKa6aYuUy5kaGASF6Z9I0lZhH8OXdhsxTeYN+I+/UipasIyiuedDmOQhZWO3wZVHCSq1S9xW+ZkkadV7gkRMz1HBLlUrmyepC1bLiJn50qTnZDHtUqRa6Zquqt3TpXH/LKn6bKY8Pr5AeszcJLdGLZfwRbukfUax3BJbIDfHaC8/bKXUGbpCGo8s0A4Uy2XWSdMIh9I1XU1GFahgV0uD8JXSY85uyT94RlYeekVmbz0u/zF+HQscX6vdd96NdfvPNzX65ZiR2pFKZpFgyQMwoRkhuZkCmxQb17Tpgsa+qbk2jR8KwU37K+WHSlDaS4WIgHtuOix2yqG/s7dR8R9/pVS0YJkn4d4zkQ62fwNx2GeS0sxTCVKjQ7K0j8uUxMwlkpil/quK9prnJoh5NFYqd0iVqp0nqGinSPUe06T6szOkco8MtbQLpOv0DRK7bJfE5u+RjjM2y08mbZCnphfLALW2j6YVq8XdKK0i1YoOV9+WBYmleB0rIgHDV0mDsOXSctQqmbjhiCzae1LmaWdu6Z4TkrP9qNyTsHyd6Z5ZKaRftjG9Fpn+kUkm6ZxgeytuhliYUcQSEDdd0HS7C8U4sYJYODc9/4LSXgpUHv8sLAYS7P4o5Z+K3fepUtEdr4oULBEPVlzYczGd0kZUvhHBPsYKA/jRiOmSPHuxxGculSh1DVr2muhtr9YpVbyVs10mSfVuaVKjR7rU6jlTRTtTQgfNk1sjc+WGUblyW/QKuTEyX+4du0aGL9kjnWdulftSNsj3Ytd6ixN5LwEC9ZZ+85mwFevAhubzog3pMmuL5O8/KXO2HpNF2qFL37Bfbotcmmq6zzKmZ45pPTjdRGrPP74kdkrTwjIUN0MsoxX7kMRUGS0KSveccjYzfDB9jyUhbnrEw7KPoPTl5SnFPSew7MTuZzYWUw/d/YsU9xxXSkUKFt/evdf/VJhzy75vRLDNTLukL8zTCHaapKhgk2cvlY6Jc+SRqEy5ZdBUFS2LEcdK5U7jPdFWQ7TPloi2+nOzxHRTOmXI7erThudsl9FLdkrbqYXScmSe59s2HZ4vrSJWSBP92yBcxam9/xK8GCthKwkZuFgaD10iYXr8/K1HZIla1z6ZG/9Wo1dm25p955s7w6absbFjPHcgusQ/8jdDlkLFnSvKWLd/7B4Q43mZEcBjiv+4VcrlLi6kN80aJ/d8hLeYb+qm8w/d0om5kgEEOm43Od8rSrBMsXRbA1ii2Of5RgRbTZllnogX7YAJEYNxc9Ri9pkgbYZOlRv6TRFcBk0jldQ1qKwdsKraAavWfaq6Bunqy86QBv2y5NHUFTJh9S4V2hEV3GFvCLfvnC1Ss/9CaTosV24es8ITZn3eCsNfL1zlhay8VxuFDKCDNU8eGVcg+buOyrgVO+TasPlbKnXLUOs6z/SPSDKT4iMRKzeOkPzNNRCw/g/FPiCThQk8+9Mx87484SIC+fi5/uPpufpFdjFwBfCt3fPwDEHzE1hzRYDdTfulQqjIn/ZiEMCnJSK+a0VbEYJFjP575Dp2grZN4+6vEMHCPaZtotTsNFa6J8+W7klZUl19WkTK2i7Pwupn80yyVOqoou2iou2qou2q1rdTmlw7JFsmLt8uS7cdlMyN+7w5B3OLn5dp6/fLTaOXeW+FCR2qohy40BMnL96oq5/rDoAc72UctfrMlXr958mzM9bLwuKD0nbCCjEdp42q9Zy6A13nmI4jUsz4+DHcNNbthOJmhGWi4j4gkzCC0rkuw8WgAIJcCvzk8k6mpuAOK/5zZCpB6YGRHX/L8HuFKY9B6f1Q2Whd3CFgrDvBfPxOd1L6pUzgpm8wTnGHYi2sSHDT+gXL1MMrm8BdKthayjJEWbtLitTulCLmaRWo59tasZ7Ds7SdS9wD03GSXDMoU6JzCiUyZ5P0zlgnU1bukDkqXFbZtgjLEe3lS+1+81SYML8Evit1+s71lo3X6DVbGg/IlpHzN8nwuRslpOeMY5W6Tq1jus40Dw4ZbxLVb40r8V1TlKAFeS8oTFa2D9ddca2IhfmoZzOgnBAdwML5z8UwKlMDy1pUiHWjiWTEyn8sy7/dlax+2DdL8R9HE8y0R5beBFl5Bh9YGHhUCcon3pmAa+Iun2FZOJNvGLGiglqw9PjsrD8jvJav4F/73QAICr/5BUvnjOswcOJep7xcZwULdyl/xJf18InUT6UOKZ5PW7nzJKnVI00a982Qer0zpHbPDOmZXqCi3S4PJeZ5L91AjKED50mr8Byp2TtL6vSZ473qyKP3bO89XVWfzZCWQ+bIiOz1csuw7L+bzlP61Ogx3ZguGabT8GQzOWEM7gCWIWh5NY6+f8kK6+796WjC7KyoS4XMx5XwnxNRMNaN9WJVwEqFUBtpGfHxL0LkOyK2k5wvBGlwP9zjLcSe6QQyIodfjcWn0lKxghYLUnn7KJz3GsW1sAiQSkX8lPCdC9ux0kEuGJCnZS0X8guWFqOs61wMLPpHrmAhBjGWF0RbRUVbpfNEMSrcyl2mSJWuaRLab6Y8EKfNfm86ZbySc6bcHb1Y7oxaLJW6z1SBzvLgHV01VeA1n5shlbtNk2sHz5aBGavVP07Lr9J1ijEdp5sfD0kxExKiTGxJBhBqYj2VmwnA6ImbUQT48Zf86YKWo1wKVBjEEWRhygMCYzL2pQxAkJamHXcg6JzlgamR7oiZ34e9XNYqF/JJaZmCjrtcvvILtrayXgkUaCDq41b2hEtnbKL30rga3dOkiVpcOmZ1npsu90YtkDsjFkiV7tNVwDO8tx8SZYDqPXRbj6lStVua1O81TdqMzHqpcpfJzap1SzOm/XTz0OAUMyXR813he4q/E0XQnabLzaggwRLMdgcTrgRCUzTL1PyLvS8AS0gzSvN+sVcIXQhCRaxMxUIFLR33Q6Wiqeeff5UE93GpguWaWGVmWu1Q7MjchaA1CzrX5fI1wcI1yiklWKABVIIOY70OWYnFnaCuwkSppDRUEd46fLb6upOlugrZQ8VZrdsUFekU7bhN9kSOla7ccfzH6mb8qGb3NKP+q0G0nYcnamfr7ECBX7BMVxuluJkEfsEye6i94k93pdyu8F4rOndMF8SSnVGYJ0BTvUBh0KKslbGXA5WTTg8VBp8QP5pxfCoFbggdUlqBnkpZFRRff65Cy4R7cjGylQSFd3k1V4LOGQTTDgnRlfc6F4JzzA0SLHxXeUMJFGjZJHvxWs+/7TjO83ErdVQ6lLgNHrz6yH5G2PjBXrrUT/SYJ9RKm5o91B1on24eHJhqZo6NNFHRZzPAL1heruBmkMUvWAr3Qh2cioJVrcSI/39cC7CcCBjrS5iuIhcqfisJEqvlemWfEiDM8oB4SwUMHVNK6JDqWWLvs25nv6Z7VS30IypY73cUKqt1rauifXZkgkk9Z13BFSxOONPX3P0WV7D/ULyZPlf598eYJ5KNeVIJFm1DZabyDyVAlOXBjTgQ24Xz9hfr35tVsAbBVus60ets/aDfeJOVEmHGnLOugGBteGla6bYgXMH6R76u8m+MeToszjzQP96Yn6po2yrtA4XbQTmh+MR2RXyqRCg1FGMFq76uqa/WdWBEvEmK+9p6KwRLSAR/rV7ptiAQrH090KW8eO0q33JMWlK0CiPGdBseZ+7rm1Ai3GDRtlSGKieVIAGWlz8pU5TrlLPnV/dAa88EU7frBDM8Ks5MSohyfVeLDWtdbLQHwTIROs3ZdpX/A3hj83GxMWaKCndcQrS5q7daW9wER0w+milPKlnKe0qQKP38RdmtjFa+p1RWzp2zXZKp2THZdB8RbwZHxJlx6reWzhnwg8+KCINe0uvCuD0926vW9f8YZz8gECzthMQYc2cftbTq11ZSMbkgrLM8k1RV/zLTq7V+7qiMUSYqk5VJSrIySHlIoQNXzz3+7DmVKmrR+4yMNalaYXADyhArELgvTywVd4EeM5Y2aP9V/k057wtCSVDR0hSHRcSaYZElDFf43qBLkqneUemgQmubZKqq0Oxn87RHFY9nPCohRg/dX0X/1uqEJSVdsnliSMkrgez549XKu/dylasEEbiRYVAE5Icee4L+xRoi0J8MijPdhulnFWP9zokeDZQqiBcRqyXlc/UOieaOPvGeBeUckQrX4Fz23EH3cZWr+AncWBaIDOKURBUZfwHhWVLiY8ytvRJMQxWueSrZ+5yq2xClPR6Czn+Vq1wM/mOUhEnPvPPUnZVuYSnKgwr7f6Lwgl83pISvyGwdJiI3xa1IjY/2VrXepVZ17PmhKY5jEgYTsBlndtddWZhGxgJAps/5hwEZ4mQOapBvypQ1ZiHxmU4X98mAAW9OYXoc1+N4RqNI505FBJ6DOQLM6SQa4e7jNZkc48ZzuQb3Yt/ZSkeQd0mRR1yX67v+NiNSDG3ys0T44nZ7EOxn3qg7YsZn5gAwNdBu4/pcx5YNk03sMaRz0zJJhamH9ruFKYqUcVBZkM+MoFl9UG52sIZ9lI8764zy5Vw2T8gjVs6SH48q/reVk57hbff87sR6Rg3RHlEh8rYKGxn3Zm7maoW5orwwws0oJlywPJd3SzFmzvg4Imcf74hixg7LPFhYd1DhBj0rOl5dAD47qJ696YGLFCZQcD53Qi8PtV9h5Sh/eU8qN2r3s1Sb3n9QlIAZTczX5DP3x31yb8ym53wsqeFaiIhx6XDFHkt68oDxf/KA67qhM0TB8/OqTLuNqXrci51YwuJBJtiw9IapflyPysc+Kg33wjOTR6w88E/YcWGJOeeiwO028pXJJ/yz25gzQPnx3JQTiypt2RFNGV/6GRhA4QV39ruFe6Q8EIt/HxWHiedMm2ROAPfNbzmwD2EyocddBcEyHp7f/sQTLwch/xcrTLtkjq776lAM3REFHdhpmbye3+7nbS9ME+XN46TrzkZmO6Fqal87haFPN37JiJH9pRAUT420NYgfY0CoNi2Zwix60tltLkxi4OH5TO3kxym4Kb5jPZhdhPBsejvH01p0LC8P5VoOyxSF1z7a71hQnol4LLXUTkDBklIZmAhu05IpCNZaCzKVwQn73n9eu4OY7yv9Dtwn90LhIBLers3zsY88QsjWmpDhdnUBz8J7Ey40UofxYJUvrYzdRuEzEOKWDYaEH+LgM9dyWwAERvnY78eUSOe7hcpKBXWvZaFMmFBjW97qpfCZbeQZrZJNj9h4o4211pQJxsLu50dLmKxjRc6kb8RKeu6fPLPnR4ushLA/XsKbvQv4wA25s4nIAERqRcmyBiwjhU+z6DZnzC9lniZNnW1iEaJ/OpsFy4alsd+ZlMKPR/AZi4Vw7D7AklIo3ovAFDKV44MmeTCDiYz3b6eGf8f5zrH8ikl86XesNjOc3LdgY4WxFLyzn+80aVhHr/UohXdhcS9WsBQOVhixUtC4KDYPsTBYCCoc+UTFsJUhCK69TLGFTVosNpPE3TfQUJkpA66Fe+A2+VhNJn/b7wjWNQYWWkmMCCsR/PtokZh9hquBkcCtsOVMnq5QyD+bnrfX8Cs2tuKnKu5bH2n6uQ9aLL5j8REsVh5t8Qy20mEcMGA8t3UlWrEDC8QD25MyLY0m3vqDiIibprZithGYXZrBjWGpqFU0HVgS6y4EwZorrARWGSFSg1hGwj4eDivlP4Z7sU3b5QiWdz65bwD0Cxbh8Vx+v5L9tnKVJVgsjG3+WIvPND+m7WFBeReUtTTkE8KiMGkWg67ngmCxqIicysPUSESVpLDPpqOloJWiQiBw182pCMGiAUSDK8B1cTus8UCwWHFaH5sewZK3VrDkIQaNdFyD6aC2RQAsMpWQ/UAL5S4iZc4teYlh4/69n6r0C5Z/ZJRtzrA+rFuiI0KBWT+OwuBhKTD7W6vUJjIR/8aez4Vmkevx5hMe3F3jz8JAXAo3PZaaimAXDX4TgsXvIkPcjhbPxL3aF21QKPi27uwwmjOEh0WwFhYXBuuKRSJvbB7yHVcAAeArko5Kbs/lB/HR4nCPVFYKmXm/NOnWTwcKkdctkY+0EK7VrigLy5xb9vGeVqyevQZuJBbWFSzr6GgVrGDpD2GYbKeL5+a+rBXFwlIZ0A6Gi2ewWsSqkpdogO3k93F2UEOtc09zzg26zQ5OvX81JOBrUCtsswncGO+GKuudpn6XwIVjXJ8FyGCub3uO3Ae1PEiwFCzC828PEizis4IF7pkJynxGKDwX26z1R8zch10TBWQ8okas+Oz4lvxUkd3vgv/rdnioJNyXm8YFUVL4tFZYKFouxI+VdgWLu2Ytnh+sLp1C+50J5kG/lWAFi8/o34dgmUQUtAwGg0Wl4+dI7Tbrx9s+DEaEvLT7iWRgLGzF5wdOaLlti+1CC+b+zBP5fJgPTCahiWYyNP4sYnWdd7bTAeGhsGA0g7bzQSgCgdPUkTn0bPllPnusHwqZnm3QPsApx3+m+aHm8fus7s/oEBLCJ0UAPDjNtO0QUpt5QJvWwv25cwpoDXgW/tlthLxoqrEOnJPlJRSU20vHuhHhwPqRBwiaJdPsIzOpMOQl78Iiz7iGbY2wUKSnslKAWDtcL3tuPxQ6rRBWGZfI+oEYB4Ro01EedJK5b8qQdNwL+7C89OJtWvKTtNwXFZvWAR8bQXC/LGUnDXmLZbadVioWrRzXIMKBT2n7PFRC3CDKFCg7WhN7TVoG14elcnAOrC3fMQAYTJ6D8uQ6CJV9tHLcI5rimqRJZwe9PSwQYIJtL81C806TQ6GThil+bicNi0Uzh9XAEtkMC4K0zX3b/OCA47PhzPvT0tS49wvWF6SDFuSK+J8JS+XvoAD3RkYC50VQbkgNsHhYIiqR3wfl+jaPyC/ywjaNwL3RfHLshUJaQAfHxow5r20m+etGSHgOWzb8pSWyHT2eh8pp03K/VCB7j4iHtF5nRmE7kIZmHyvJfsqD9HYfvqt1dYDv+JpEC6w1tCB6937RBuVh9YN/zn2413bzFXeAMkAPGJVadsdVvg6FdaHKd5V/AYEbr3KVbyv8R88fk0sPnJCCO5zogknGX8S3CgrcY+pd5xzrRHPijkqxjaaLuC0dKJpIt9ksC3xqmg4bJgKadNwTNx3X88c3Oc59Jpojmn3uAXgeOgFuM+eHZ3OjCMD1aYLtcXy3PquF/MDvxl3iWrgTQR0YF5pBeuSu/ww073QC3Rg3+UIPmvLjGvx175O89T8/x9D8ljW4w3U4xr2OC341LiDlxzMxWuXqATfAXwaUC3nobiPvcCW4b3x8f1kCroqbf15Yi44ETjghJUJYOLj+Xhv/iMeSjr90LLgJNw09ZIYU7XfERSeL3q7dhk+KY48jTXwNRxqn3PW1gsBvxSm3nT2g8N1RNqCnTpyX8Wm7jedyY3s8OKNI3AcQhqOnW1YBARWVzoJbMHROCfdZ/5hMp5No9wM9etag8ax0Wsg3NwwUBIVNR4aIgOuS0IHiPQiu/0sFoXNIZ4VRN+in2P2I2f/8+JykLyvP6UhxnrL8bGKtvGmHgD+dXDppbnwaA8BzW18aGCb3v4uX/CC+TyeQqA0dP/9oG51PlkSRf1xrDRsJDFvxMYRJprvvSSISwPAttZfv1FB6yf44IiErbsx+x5LRK3YzkJrNw9hC41yc2w0XBUHtoxePlbfbqNn0vN10jHMjWCqdtXwI0h0n59n8ISXSuhnsBxFRyWxEAoioUPvtd6wAQnPPg8jdIWC4kCUHLA/noaDskPQtCquEKRvXglKBGY5mv93mipz9PL9bSUhLsD6olQR66ZzTbyUtDIggePvdn2+8hwFD4G4ngkB0xU1HfNYN9RFlofK5aYiQnPdzU/xHmMg+JMLFyjIUaxNhFTjIvQErbJp3u43XUrqBagRLCMf+2ASQ2aSzwsOSE06hsG2aIMhkMt593Q6WkgEONx0WHYtChtuXBFN7iQ/bNGQS4R3bmycM429+gyDobTOdeCKZ6VohrAPhP/sdaAEI0VH4uB1YfldQQdAcI3REhbFgG80v7+8i7mtjw8BnWjz28zyc34ocsHyE6dznp0IQfiKKYLe5UKG5b38LaiG8R9nj6nF+jJDbOvGSaAyVqxfyzZ3XANw31th+Z06JOxcEKDs0xL0QQryZjbz6BjHwYFhbAvM27ACIwh3yAx6a2KsrNG7INfucA2vqCpaRHm6CDMMiU8AIzM3kIBAsFv1igqUm4xYgQiwixyE0t8CYBokVZggVyFz3vGVBBcAlwgWgJWGY1C2UIMHybLQgCI38oVm/WOVAsBQcloyWAmHxTMRViXW7zS+FSIXHqHBPuGXuaNw3IVhaGV6/xOQdypC/bjgRwaIhN29I5xcsFZ4yYqIP4uW9Y+6gEVA2uKzkH4YugY0k5CaJOyICf3wRETAHwLUMCIKHpnNgt5FhZLC9UQRL4Ndt7vFFOR+FQWbTfBBEx6+yaYKgEHko1yWgsuAmuOkYKgQ+Y9koYITuToFjdIVnxqGnA4S7UVZH04VANv4az4OPZ4PfliDB4pdRKYif8oxY2rI6OxYqGYKlOcfPwwphHLCmFK7fwmKNiVnzPJzf7Zh+E4LF30douDaUC62MG+dGsFRUV7D0U2j97HfgvhE7ZYP/z7PZmXsW7p3jsObk3zVsxJ+7UCbi/72s4AbwnZvjJHSC3HT4PrgTZDjfeRicatd60XwgbHcbTZ8746csOJcdBiSzsFbusB8gVioJnyk4KgMdBFewTCrxd47KCx0t3AkqQ/PSbRbrw7rbEJ47BFweyD8qIu4TQ5sMV+ObI0ZaC9fCElRHXOS1ew53P62CW7lIi+DKEiz5g/Ury4eNVVwf1g/GDP/e3hOCZljYHcIFntH2i2CQglFy02BsmBR1dhv/UcgXa6aoNQiBYUFqAjXDP6qB6BkepXZhvulFMhfArWmENvCP3fAPInBvvCyoOFwbfwhXg2tgLdw01FCaavudzgZWym0mES9j8Fhf4Hx0DIPGs/3QopCpQa95p0Jzf+42OlxYWVwlWh/+2ql1ZYHbRF+Alg7R0otmGxYPAVuDAFgdKi35gSXHbXCHfElLWbnPT7nR1NID5/kpf0Rq9+Of02kiX7gPzosFtPv5cWPEhsFgH82/e350wPA85U8ZcS5E54/CkBeu5cdft30EC+WJaEmrzxYz838BGxR3c0dGCvoAAAAASUVORK5CYII=</Base64Image>
  </Logo>
  <Logo>
    <Name>SAHEL.png</Name>
    <Base64Image>iVBORw0KGgoAAAANSUhEUgAAAJQAAAA0CAYAAABsIBE6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FBtJREFUeF6tnXnwbUdRx68YllJE0SAESxRQUVEguCFoKYWFpUKhQmEhihRSCFEkL74lvNxfFlIFYYvsJEAiWzCQhBBLY5nwOyFoBZDNDUUxWirgAkhQUFDw+f3OTM/p7umZc+57+ePzm627p2em75xzz3J/m83efmFSebBV+TX1XZzdpgxGNrttYiewV+tX9C3sPK4Rup8dfKhE+iX1furydv9e4NXI37fUfQd4JPhecNtSB5wPycYavzQd+baSgiuNh4vQ0w/qFhdRbK20F9aBxQnrtY10ViJjrGPt+S3oOi0z5BvBFdD5X6THwH+Af8v5iWXyaXAjuBI8AkR2Crv44dptA+DAFxf61kQ55Cfd+OEcb8qaTlszrkCujn9kHzS2hAU9A2TX+qRTX7+3fxnyJXBqAJW8LleeDqytod9s0+1RuaQpYxz1wmtRRk3dwBb77fVd672+b+8R9RvVFUJ7PXnWD2xpdrILGvki2x/vt4H/AyVYJIBcINWA2/878OVgYQ69j0vlQrfhRKiOLk5GaVM+DAdJVg6sIu2BnvdzJ7ROYNuU10AdwdfrNOUZED8FXg9weFPBY3aqcHciPDwqu8p2M/+uvdbpVOVtYyBATCdaXtcLpX4xMArhAKJ60utzR3p9njA72ql+eL1FO+8EQaB0dqeYT4AfAWLzl8H3qPICzkcZi6msaOHe4JYGzXaR8WmvLiprnL4PjO4CjRBZp2Nss63019SXfKrXNpy9bl0Pyoq8SX8bRAESMx/qevwC+GFVfi36uRvS0qfuP8DMBxgKC14pBHaaSVVUG75d9BS6XG0Gdkd6EWF74I/kl+w1aD+Riv4qO1pX1+l0/wLYKkFSdqHlgOlgdrEvgHIexvrpf2D3KpTPB0y/D4gPY9KfNGA9GOT1JDQT4ge+K0U/sjuafNPmfVjwaWQ3ROwt2D0unM3qm+5TqO1fB3g5oASBDgjJp2AoeS8zqlvkz0H2pUH5SeZKEYjKnl77DnbSJPXkmYJhEGhZVd/oFFs179sLRk/Laf0FujY8pS0aX3/MPN/JO5LsSnV3WgikXXaxvuxT0Rb5BdRYw0pBG2iMQb7WjSZvQH/ydkT1b2w6v6IxhPlbA29v0Ffyq9Z9JXgq+NpSFg6DvLjNoi/tOqrdBKGuCwLSyuI8y40hWv9ZQHCDXawX1rQvyQTYyQ7Qbb285zj8SIie028C9QTY7n8Z0keD54IH1/q96d1IywJrgkAw+DopR7KCaqvBNv0SytbXiLnQmSxDT2akyzrdDo5rAbxtX17LSE+1jXzstYX1xWZqY37Qf5XZfyC4FuDbViq/DsyLPAyGJXq6Ut+1fXXxpfjYGUfNyGSMJqVJfX4NPXlXH/kT+nairPS/9h3J31pzQFLbdwK5wfsVoNyXE9KOkfPN4c+jZEOkbSST+CL6+iakytfq70xT4UkTaWR4jeLHAC+EHUH72Uj3IHMI6ZNKm7qOEdlf6FOzKohgr5Fb00dPhvXSpmWQH/bTy2sGMvFYvxrcAtmysIsLH+PPk0wgsn6VXa6x8i0YY1NRBwXhlE9K9wHPR/4vkRbjiwP8ENouAPdGvthUtpu6xElo41Xgfwd/k5l0+reA10h+Lrah6yQfyIUL1/VpAHUmzAs+vd7XLVJCf/em12b5CNWvnvvanng7mOeWwdAExCjfa+8RyaS6feB9szQVdrK/BdjBCD7iuySZt4CvAdp2wHQHpP8KnA1NsvdrIA4MU+cWJgwkTZFPclq3WeBMtnc5KH6V+dCLnfOcQ8hGdljXsV/rp6cZmyNCubXrpOUinem/kN4VafEt8LupmDkTBEaFtU7WPD6p+z8KBgs7YYfa/yeg9DzJ5lNAoB8RDFr3L8HTBFGh62vlDUD86nE9mHVqX76/qC7xzQB2fB8sAwmiUTB1A3Lkd9h2Bih+Bf7bikr51K1BDUjKpr3hUQB9+MlL5RxQi/amQUB5m7qtUIOk0x7V9wOrBJTxz5VdQEUsBy4ON525rfPl2rsBJpS6brCF8PEXrlP2y/ttCpzI7f7rcwe+Q+dsIqhb5dw03xuyDp3gDiWB4ANibeCUcvIJ+eVFJkFANSwH1CLTT6ybW7K0Vr18QfcT9/mr0NO+zfm5MrFwmCuYTuiQOIXUO9A4lOR5co/+/IL6gAoGm+sQUKLb2FCBwDZB1xfWBQwI+phBQPlxi9/V/4WA6tlXvmdeDMSmtt8n9EvnmYJonSJd1qV6nNcZXwuqcGq/8yVElqnOa5mGPYB+zYSVgHK61a9aH+9QJpB8fW/RCNq0bjfQtI2a7+xQZgwloHo++Hoph/XvAtq2ojPnOQAKru34+WPg/AOqcA1QCtL5ohOfA7eA4DHUIXxo/s4AfdeJUwE1tOECyk/8EmrBfCB1g6mg5XOaA0o+ueZDWUFADXwc9un0siyvpB8B/BrPLzvs458BAxfpaO6kbdUaLfGLQPziN/R7FwenHygCmXhSPC8D94fuHZHeDvDNC26D/wJmOWOrGQQnZZ6sxXMo6oPt0jnUiBoIqk4T1JsF1/op3+5Qdcx1vOqQ1+tXcO1NsKn23HYKeBi4U65P7e8H0rfzR1Dttc3VUa8di4bXC98K5D7jTeLAK0oFiDqVfEr/EzwAeeo5Ut1twA2g6Hgbho8Arb/ipDyRAypc6BNkd5suoKJ5awKKn+aHo6/D4DngfMAnDOR2ywDtk/evlu8F3gy4a2k/CuFa7IDoIzUbxv4L2DkDgF8Fs8Dc2IOPi4rjM7IQTLfcsSYGC+SHNhnh6kp6FFBF33xamh2Ku+Sfgs9A5u+Rev4RfBG2fgap0sMC1ACa8KFiX1Ogj7rcN58AUPqJFedQkwooBNDe/udzvSP3wS8sPw5UHz5wFOYD4Jm4th/Ido0/Kl+ocyttgYyB7ZpU/1A69P1W0GMUuJN5p1258nigdb8EsOjTxUifCPj6T5adJ6UNqDmI5nI65Em/KeV2z3MyJVv71XXsV/ryuHPIJO/zb1C+it+dgDK8BvA5p4/HfnmSTLldY8a5EECgttd1uQJE9ufUz3FD5HNTd23qG5nT5koKKcG2o1OBdjagtt0F/C7guRZf+eEjrEouwu9Qzp8Zv0OVgBLZSC+V+UC+1lNMfKO2jDnsk1wCvF4JqEgHdfkDwPt6Nw/l4j4Z5La/NmAUvm76VqS8zxjZHqB9Cf1S1Pb8Bg0qLsqVQiMo/DVwDhM1iKVPzxLbzmWDxrdeQGl5nRa2PqDoe2UOKPNBMn1fEowx3qHaD6Oj2G3knM97+y8E9K/0p+Zb0wRaSt8X2Fsm9Mnb0WW5c4E+keEuooS6DvAGb3E2IhpoZ/BCszjcoab4HKrmUzkPYNYPDnkR02CHSu/8e3lXlh3KjGvNIc/RneOAJPuQdq5WwYf0vK05rwOn+RDpstQ5/Zy3r7XjD6JYhHqkzi9EflYMwURz4GnwatJHkyGyWWb5HCoz2KH8ZJhJUAHVBHsJKK9vCA55OqCGuoWezLDeHfpkvpoxOCb+6oqzJ0h/THt9E99uyiqYii/IlG9jIhzkuahbuWYkg1gaDBnJlDY7McEOFbJwyCN6LJUddyih2kJANWNaEVBNPS8CL1wINnWU5RMHvu81XN/5UHZQ/Y53LbsGsmngD79Se2FFNfTrYDbgEYMVTjxo6gVZGLNAaocaTTKP2cZ2Dqg6AV63lktAFd9s//EOlWzWurxD2THlgGoWzfuQ4Nh+GnwV4FstzwOoj/rUpPZ4ASt6HtXYeN6o56XrZ+Bvf0x8Wjf34f2A0D8gYxW8oVweB9QSqWMOVA+81M1O5YCS/qsf9MsM2E8uAmoKDnkqn23FO1Tuf7BDVRZ2KGL8zOS+Pwrcq1HJ1lGA9maMjok/JJZ99YvYI8vxEWJe7wtsOpKfIx8STwBzH2ffADAOSVF586KhPCEHQTGkJ7WZ4A5LOqyLLhtI3hAc8iSgOowCKuMCKuz7+AIqM9/3avlw8c9BWyC3vQcEumnegryB1/+UTd8H0tq/bzc8Gcx2GUC+P/xRnQ05FxTF0OndSJ+exo4NqGaS4Weuy4e8ijqHinTm8S0ElJ8Ho8u8O+Slvl1AVVldxg4x0UelB+ad5uVAyXs/ErybkXVEz/oRk+Vv7Nhskflr5nH/Y6ibf1bxHOxIz7xys/mNl4CXgZdn0MjbAl4ZwAFrNG+5FRlEmRzTVuGDdA+CnblO51vcDhVgAkr0uFhlhzI+yySWNLwOVfPtIY+2qr1kIweUpRNQYPaFC6p0VD7PBz75SwuexsfDVzCH3fkX5l9sMeOp81LqgraZm3M/wnUIoIs2mwMvULwwBdQbraI3VI3/HqB8Bz+oVJZrXO9HmQ/v8aUHJ2c4CYOzAdUMNqEOeamfeYcawxNU0ZnJCxTcogCm/7JDWX3ejpF2JWu4Gng9zWNBlo3HSz4H/bu0Nno2az13lb8ALpiq3RUked5ovkOaq3Pfgd3p8s3mDO5OL0X6m+BF4MUpoHhuJEragOdjQP2SrEDHxXmdT99kPpltGXsfglM8fN5XyQplh4r6N3Vuh1oTUEl/dMjjm7FOp8Ed8hL9HWrmillH+y35ia+ed4KJPiX43BlvZyk9TVSXcNcZgzGmfhfH/nnInJIOdXt/kA9vB19ZAqoEE1MIPjw2JgORfKr/IQCdaFKaMhfP68/kyeO3j58FojM+5M0TXnao2ted0KYuG3hq/4+HTNER3WpjAlq2UMp50geHPK2n8tmn30Gd0tH5RLmRLngfEp8C/JAqPTUGG+QC3zKKbGW68xXyBZyE331zDnanQ6/Kh7iDr7w9Aup2c0ClHSqdLNLZ1kjb4cILi2aiymMTQmfC0wPvVScHlNareaOTA2qexBxQ8UJofsX5qPnIrN/1NbiXN6055H0QiLxKqy/PBJGe5sPA6wWYtiehnPXbtQRsE5+d70ne1N2QT8RxqHvGsxk8J2/OuubmzaHXPCof+l6BAAMQJG9KSmZiQONE6qB9psikCRzSxBnjlId3wu8BRC/YoQJ98/hKohzytKzvP6XPBtGn+VSrG5DnItih5GkD4vqc58+PU3QLq66B8Y3qrGf8N/Pg4e4f2QrQ42fezce5N56xOfJGBNNzEUw4Zzp65U2b8955bHPwonukb3kMJgZVcYjvymXFOIg8p+VBhYPhq9lZLtkS/cDJ9kR/+VteRp2UJ/isUd5ljf9Nfzx/yzo2qF5lZI3fBhtQ2YYLqFAPTOo6nuHugG/kevlCyW/TGy+RPijrYMdE+CVI2VnCy5Xy2dP5m73rcZi7cLM587LrNntvZ4Ad25z5povToS/tUIApFAS+xeAMenSH6cnGlwD+gAK/wV0Kgl8J0eWm7jFA+SAXNiM9gw8o6pXHXRfhTzHzN5hEl4+HlLbSrw5K+wHrnEMtjpPwZYL7ob4sfP0w8lHdIkMdr1frgi8UtCF2xK5nyh8WO462HDLxA3837ETYka7iOdMDcUJ+LO1M22s/jQA7eXP683OgpW96AArCT2YjjdGgbgmt09Ofgt9tLAHV3yEA6/2bw2lS39vXcWzTb1Wy/1vmiV3QzXKDk3KRSf7lcsLY5aO/54EfBPz3GDcB1a5k7YLzR1W/Ae1x0NQ6aZcgS/DXcJQt71+XJ9dbKmdettmcjkPd4d96As6jjuHE/Njm0KtP25x+AYKonIyrb3mK6dJ5INIpUju4XGdSRSMbkfTyuZidoOM95JF8Hjj0exeCsa0KKBLqFjptSber9za02cBp/VDodnmERdse+QfyOO6XTsKPIJiefh53oe/ebH//S5tnYXc6etVNmwPYmfTlAslDUXN7gG8T7DDodDxogDaziL5c6vJhx/dNVECpfrzN+LcN5keZG3ldBjIOkfPyuiyyudw/5HkbJl1DTzbV8zUp1y+DZimwEvcH2pYfUwRvx+V7dYcvRaDg3OjolZdvnvWHaLvuGALn1M2B5+UgOlAOdfMhTzmVPwH3BJ8BUF47IZTzlDYz0YkPgPy/RppJ8TeHPcVufS9P6+6fgvrPpnaP94FlmdQ5/SO08eJtkZMxqLHUgDJ+BzuU4b8hW/59hrGl6NUneAXf7+S78sGFPgrp9s7jwG3SoW57bT7Z5nnSkdedk2QOXvyIfKjjjoQAagMqdIAPt39inROClu3q/Rm4I9rRhwkGIQ4oWfS5Lgoo8pxB3wqRqbK8RcQXVT/VCQoh2KF42aDYoW6rz5cTnggZvs/o2/pkO/ytrHJ1vLAqsMq8zLK81ldsD+eHQZN10jWnqxEwvEyAk+4DF560OXjRbdOVcTkJ18HEPKkGNNkRfhVXz5vvSDuxnHjVzw4BZcCExDuUlHGiO5w0z58A6vFalnqKkjR22oDaqh0qhtegKMvDFsrKZpojlqVO8qnM3fa7gO1vkXBeeZO+9KEwa8SXVZQ+A+ro2xAk5aYvd6RDl+RrTanMQCq7lCYbEUMR6XZL+RU7Gfgo38DneB5cbAWYev5A6SdBZEfzDKD1NAxKnMR6HfER6TyR+gkKvic4t+nJrvmJd+11X8TdVA7ngm/yUvahYN6pzIIa3gFOBrkPsyv15pF02/hGcrGt/Mv98582/jywOrzFcvSaElC81hQFlKACazYSOVPq8oC+HvAhMT67wx+/+iuk/B0DfgX/LGR43vVRpDxH4r/P4oW8+WVOT7N1s6/0pivvazFguAtZtrx1kq578V+fOv1CtTvxDWf+cBoPOVxEnMuk/8DE9/55kfDbc59VnvfJnob0dKQ8wVdMTM+CbQaE0knwa/lZwOkkaIs2+WazyPN3IDgOfkg/DugXdyM+288nPx4CtP0x4Tz6ulTP30B4EOCTDfyhXf4SHb8B0h8vm3eosySgEEAHEDSHEVC8Ii47Vg0mkA5/L9r8PxfnBtbDvXVvAAAAAElFTkSuQmCC</Base64Image>
  </Logo>
  <Logo>
    <Name>Sigma.png</Name>
    <Base64Image>iVBORw0KGgoAAAANSUhEUgAAAEMAAABDCAYAAADHyrhz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B91JREFUeF7tnGlsVFUUx18LBKHsuxo/CIjGREOMGv2ARjQaJSQaE1zxk1EjQvxgwBiDWgptKdCWLtCCsi8NlrZstpVFoCxCAcGyg0XLDqUtLVCqePz/79yW6cyd8U1fZ0Y6nuSXKXfevXPuv/eec+57dKy+c7P9MRzMBBvBWXAVVN1B1IBLYDvIBq+C9sA0V8vYCF4HZUDaIH+Aj4DXvL0awAJgGqStwdXeCTTN3V0EUgxMHdsqh0FH4CXGEmDq0NYpBc3EGAFMF0YKE0CTGKd1YyRzF4V41qMxUhlHMbI8GiOVDRRjp0djpFJOMSo9GiOVGopxzaMxUqmjGDxvmN6MNK46FqPft3OkN16ttFSxkqeHlpkpTT54+tUCnIkxAE50y8oUa0aSPLxkkTyXlysv5OeBlfJ8EGkc/5GliyHKNOk1J0v6OxfEmRg94ER0arIk7imV+r/+klBbw61b8uGmDWJNTZA+4RbDmj5V3ihcp10Lnz2+fKlEp8ww+hgADsVImCzxpaXapfBZ5q8HxIqPcxo7nInB38Yz36/QLoXP9l++JO3TZ0rXrFlGP23iTAzuU2vaVBmzaaN2y7dduHZNjldVST32+fU//5S6hgZFrQd1eO8a4DU3AGPRDcBrb/qJS49iqzRmlxbiTAxG8J7ZWWq7jCjIE38h9Hh1tTy2DA5PT5LBixbI4IULZNDC+TJwwTy53w22PYD3h2geWrxQHgQD0T4EvJi7Qo5CVE97qSBfZRaTnzZxJgahIKrOmBInj8DpkzU12j1vO0ZBmA4nfikWslCHjDRph+XtTrQmKj1VwfolCrBN1TKxX8k9382VmoabelSXjVyzSqV4k482cS4G6Qf6w0ErKUFi4HTuyRPaRbONL9mqxGuHyQ1AP9OYvlCfE/u1fLPrZz2ay15ZXQAxwrwy3OHELARVKylREkt3azfNll32q6uKxLZhPwpqGtMTXheFz+DWcbdhK3Px2dONfWzSumIQTqxTZrr6zY9at1ZuaWdNtvvCBbmPQTgxXvri1W5qVNsycYrMPXRQjVN986Z0xWd2mpVhvN4mrS8GYRxhidwYRyrq6pTTJruKLDFsRY5Yk2NR2s+yVVbzms6INz2yZ8s8CDIKhR9XmZ2+fgiOGETFETjHONJ9VrqsO3VKT99sY5GerfjJEm0zjqgViJXAKpgp1U6ffyF4YjRCJ1VsQD2ShDOMP2MciU5JDiiO9MYK7GNobwHBF4NwYnepODJJRhf9oKdutj0XL8oALH8evpg5TOMFidCIQbhlenKSiCNP5yyT89ev6+l7W2V9vQxlPYJUGUJBQicGYbYgzAT9ECw3nK7Q0/e2WpTi96JPx8w041hBILRiNKLiCGoCK2EKTr275W8tgKeNXl+sArBpjCAQJjGwOphGra8nyvhtJXrq3vZEznKJQtluGiMIhF4Mxo4YpkQE02n79uppe1vC3j2qkmWBZRonCIRWDArRdXamCqJT/JTr3+Nsw2xC0RwWUoEQOjE4qS4UIi5WJu3apaftbfnlv0GIeOnQgkOcQ0IjhvuK+GLHNj1tbyugECjOomYmh1oIEnwxKER3BkvEiIk7d+hpe1t+ebnaGhTi7tALQYIrRpMQcd/I536yxqpTEALBMjqAMwbH5kGNhRnvcLEkZ5vpWpsETww6ptInVsRnJVv1tL2t8I/f1WGLKdSuEEzNXZiRIN6I1QXyYkGeKvcdZp7giKFWhC69J5T4XhE/VlSoQxlvAQYSI/jwirElCwe7Rnt5Vb5E/ZfudJGm5YutMXbzT9pVb9t05oy6ZxmoEByfsWXkmtV6JJcl/7JPVbSmPjZpXTGaVsTkSfLpFt9CbDkLIXisT5kRcNboxrvxEHHvpYt6NJfNPVim4o6D43zriXF7RcTKuM2btIvetu38OXUPk2eTQIXg/Q1uq+H5K/Voty39wH61YsIuBoXoOce1Ij7280Bpx4XzrhvGWBUtSZ/90IfbLwMT9zTeLWexZupnE+di8Eiu7ndCiA82rteuedtPZ06roMffHh8DdkY28EcMijR3ujAzISawiq2qr9ej3rYxiE/cJiYfbeJMDAqh7lRDiLcKfd/B2n7unHTkQyA42xPCMeX6gnUJxeKkG4mZnSEdM9JkAH7O++2kHrW5vbZ2jdpCJj9t4nBlQAxrWqK8V1ykXTJbWWWl7Dx3Vsprr6pHg8f8UV0lR6quyOErlYCvV+Qg+pddviwNf/u68yEyNCfMz1rbIS0+mbNMuxM+o9gd0tPUVjL5aRNnYnAPx/3Lk7NQ2PzDh9TDb7tP5XzgUAxukfXF2qXw2curClS8CKsYDHgdsE+XHzuq3Qq9xe1GSkWW6mXwL0CcicGiqTOfh6SlyPC8XHkTGeWdokJ52423ilxt7yLIvlvMV9+8o16LZPSP3riuKVLXcFw+UnyKjyVRszADsdYx+RgAzsQgTSW4fmoWUlJnqCdqrSAEcS5GG0KJ8f//HXdRSzGqPRojFbUy9no0RioVFGORR2OkUkIx+CfRpjcjjYkUg9S6NUYqvRrFeN+tMRJJBc3+4nkbMF3Y1jkD1DcnuIvBhiPA1KGtwq+UuA8oDdzFIDGA3zVh6tjWOAkGgab5uwvhznjAL+MwDXKn0wCSQLOviyDN/uFBD/AJyAf8aoXLgOcYVqx3CvT3CjgBCsEX4F5gmG+29Q+uQ2tO3JoTagAAAABJRU5ErkJggg==</Base64Image>
  </Logo>
  <Logo>
    <Name>SIO.png</Name>
    <Base64Image>iVBORw0KGgoAAAANSUhEUgAAAEEAAABDCAYAAADDP2hOAAAABGdBTUEAALGOfPtRkwAAACBjSFJNAACHDwAAjA8AAP1SAACBQAAAfXkAAOmLAAA85QAAGcxzPIV3AAAKOWlDQ1BQaG90b3Nob3AgSUNDIHByb2ZpbGUAAEjHnZZ3VFTXFofPvXd6oc0wAlKG3rvAANJ7k15FYZgZYCgDDjM0sSGiAhFFRJoiSFDEgNFQJFZEsRAUVLAHJAgoMRhFVCxvRtaLrqy89/Ly++Osb+2z97n77L3PWhcAkqcvl5cGSwGQyhPwgzyc6RGRUXTsAIABHmCAKQBMVka6X7B7CBDJy82FniFyAl8EAfB6WLwCcNPQM4BOB/+fpFnpfIHomAARm7M5GSwRF4g4JUuQLrbPipgalyxmGCVmvihBEcuJOWGRDT77LLKjmNmpPLaIxTmns1PZYu4V8bZMIUfEiK+ICzO5nCwR3xKxRoowlSviN+LYVA4zAwAUSWwXcFiJIjYRMYkfEuQi4uUA4EgJX3HcVyzgZAvEl3JJS8/hcxMSBXQdli7d1NqaQffkZKVwBALDACYrmcln013SUtOZvBwAFu/8WTLi2tJFRbY0tba0NDQzMv2qUP91829K3NtFehn4uWcQrf+L7a/80hoAYMyJarPziy2uCoDOLQDI3fti0zgAgKSobx3Xv7oPTTwviQJBuo2xcVZWlhGXwzISF/QP/U+Hv6GvvmckPu6P8tBdOfFMYYqALq4bKy0lTcinZ6QzWRy64Z+H+B8H/nUeBkGceA6fwxNFhImmjMtLELWbx+YKuGk8Opf3n5r4D8P+pMW5FonS+BFQY4yA1HUqQH7tBygKESDR+8Vd/6NvvvgwIH554SqTi3P/7zf9Z8Gl4iWDm/A5ziUohM4S8jMX98TPEqABAUgCKpAHykAd6ABDYAasgC1wBG7AG/iDEBAJVgMWSASpgA+yQB7YBApBMdgJ9oBqUAcaQTNoBcdBJzgFzoNL4Bq4AW6D+2AUTIBnYBa8BgsQBGEhMkSB5CEVSBPSh8wgBmQPuUG+UBAUCcVCCRAPEkJ50GaoGCqDqqF6qBn6HjoJnYeuQIPQXWgMmoZ+h97BCEyCqbASrAUbwwzYCfaBQ+BVcAK8Bs6FC+AdcCXcAB+FO+Dz8DX4NjwKP4PnEIAQERqiihgiDMQF8UeikHiEj6xHipAKpAFpRbqRPuQmMorMIG9RGBQFRUcZomxRnqhQFAu1BrUeVYKqRh1GdaB6UTdRY6hZ1Ec0Ga2I1kfboL3QEegEdBa6EF2BbkK3oy+ib6Mn0K8xGAwNo42xwnhiIjFJmLWYEsw+TBvmHGYQM46Zw2Kx8lh9rB3WH8vECrCF2CrsUexZ7BB2AvsGR8Sp4Mxw7rgoHA+Xj6vAHcGdwQ3hJnELeCm8Jt4G749n43PwpfhGfDf+On4Cv0CQJmgT7AghhCTCJkIloZVwkfCA8JJIJKoRrYmBRC5xI7GSeIx4mThGfEuSIemRXEjRJCFpB+kQ6RzpLuklmUzWIjuSo8gC8g5yM/kC+RH5jQRFwkjCS4ItsUGiRqJDYkjiuSReUlPSSXK1ZK5kheQJyeuSM1J4KS0pFymm1HqpGqmTUiNSc9IUaVNpf+lU6RLpI9JXpKdksDJaMm4ybJkCmYMyF2TGKQhFneJCYVE2UxopFykTVAxVm+pFTaIWU7+jDlBnZWVkl8mGyWbL1sielh2lITQtmhcthVZKO04bpr1borTEaQlnyfYlrUuGlszLLZVzlOPIFcm1yd2WeydPl3eTT5bfJd8p/1ABpaCnEKiQpbBf4aLCzFLqUtulrKVFS48vvacIK+opBimuVTyo2K84p6Ss5KGUrlSldEFpRpmm7KicpFyufEZ5WoWiYq/CVSlXOavylC5Ld6Kn0CvpvfRZVUVVT1Whar3qgOqCmrZaqFq+WpvaQ3WCOkM9Xr1cvUd9VkNFw08jT6NF454mXpOhmai5V7NPc15LWytca6tWp9aUtpy2l3audov2Ax2yjoPOGp0GnVu6GF2GbrLuPt0berCehV6iXo3edX1Y31Kfq79Pf9AAbWBtwDNoMBgxJBk6GWYathiOGdGMfI3yjTqNnhtrGEcZ7zLuM/5oYmGSYtJoct9UxtTbNN+02/R3Mz0zllmN2S1zsrm7+QbzLvMXy/SXcZbtX3bHgmLhZ7HVosfig6WVJd+y1XLaSsMq1qrWaoRBZQQwShiXrdHWztYbrE9Zv7WxtBHYHLf5zdbQNtn2iO3Ucu3lnOWNy8ft1OyYdvV2o/Z0+1j7A/ajDqoOTIcGh8eO6o5sxybHSSddpySno07PnU2c+c7tzvMuNi7rXM65Iq4erkWuA24ybqFu1W6P3NXcE9xb3Gc9LDzWepzzRHv6eO7yHPFS8mJ5NXvNelt5r/Pu9SH5BPtU+zz21fPl+3b7wX7efrv9HqzQXMFb0ekP/L38d/s/DNAOWBPwYyAmMCCwJvBJkGlQXlBfMCU4JvhI8OsQ55DSkPuhOqHC0J4wybDosOaw+XDX8LLw0QjjiHUR1yIVIrmRXVHYqLCopqi5lW4r96yciLaILoweXqW9KnvVldUKq1NWn46RjGHGnIhFx4bHHol9z/RnNjDn4rziauNmWS6svaxnbEd2OXuaY8cp40zG28WXxU8l2CXsTphOdEisSJzhunCruS+SPJPqkuaT/ZMPJX9KCU9pS8Wlxqae5Mnwknm9acpp2WmD6frphemja2zW7Fkzy/fhN2VAGasyugRU0c9Uv1BHuEU4lmmfWZP5Jiss60S2dDYvuz9HL2d7zmSue+63a1FrWWt78lTzNuWNrXNaV78eWh+3vmeD+oaCDRMbPTYe3kTYlLzpp3yT/LL8V5vDN3cXKBVsLBjf4rGlpVCikF84stV2a9021DbutoHt5turtn8sYhddLTYprih+X8IqufqN6TeV33zaEb9joNSydP9OzE7ezuFdDrsOl0mX5ZaN7/bb3VFOLy8qf7UnZs+VimUVdXsJe4V7Ryt9K7uqNKp2Vr2vTqy+XeNc01arWLu9dn4fe9/Qfsf9rXVKdcV17w5wD9yp96jvaNBqqDiIOZh58EljWGPft4xvm5sUmoqbPhziHRo9HHS4t9mqufmI4pHSFrhF2DJ9NProje9cv+tqNWytb6O1FR8Dx4THnn4f+/3wcZ/jPScYJ1p/0Pyhtp3SXtQBdeR0zHYmdo52RXYNnvQ+2dNt293+o9GPh06pnqo5LXu69AzhTMGZT2dzz86dSz83cz7h/HhPTM/9CxEXbvUG9g5c9Ll4+ZL7pQt9Tn1nL9tdPnXF5srJq4yrndcsr3X0W/S3/2TxU/uA5UDHdavrXTesb3QPLh88M+QwdP6m681Lt7xuXbu94vbgcOjwnZHokdE77DtTd1PuvriXeW/h/sYH6AdFD6UeVjxSfNTws+7PbaOWo6fHXMf6Hwc/vj/OGn/2S8Yv7ycKnpCfVEyqTDZPmU2dmnafvvF05dOJZ+nPFmYKf5X+tfa5zvMffnP8rX82YnbiBf/Fp99LXsq/PPRq2aueuYC5R69TXy/MF72Rf3P4LeNt37vwd5MLWe+x7ys/6H7o/ujz8cGn1E+f/gUDmPP8usTo0wAAAAlwSFlzAAAOmwAADpsBVdD1ogAAHH5JREFUeF6tmweUVVWWhi9CUVDkJEmgCKIgGDGAlECBCE1SQEVbEcEEBhAUA4oKKMGAtBkDohhapQVJCoIJFbNtQFunpe0x9Nja0iMiY6s133fl1Lr3vlcMrVNr7fWq3rv3nH3+vfe//3Puq2j69Ok5NnPmzOi4446L+vbtGx111FHRwIEDozPOOCO6+uqr4/dbt24dnXrqqdGcOXOiiRMntpwwYcJYXuecffbZV5122mnDzzvvvDqTJk2KunfvHh177LHR6aefHv3mN7+Jxo4dG/3hD3+Ili1bFj366KOxLV26NHrggQeiO++8M7rrrrui++67L1qwYEE0b968iHGiU045Jbr++utjvy655JJo6NCh8XuMWzhq1KjmvHfCmWeeeRFzX8T1M/HlbHxue/LJJxdce+210TnnnBO1a9cu6tixo+tpy98XT548+aiysrIoWA4AWkUgzJ07N2LiqEOHDi15b+gxxxxzW6tWrT6uVq1aWY0aNcp8rVmzZlmXLl1eGjJkyIwDDjigF84UnnXWWVH//v1/FQgG4KqrroqGDRu29xFHHDGpV69ei/bdd9/11atX/yGKorKqVauW8XtZnTp1fmzfvv2nhx566DOsYfLw4cNLO3Xq1GiPPfZoia9LCgoKWHW0+BeBMH78eJ2p17t37wvr16//uhPXqlWrrE2bNm9Urlx5Jn9PwCbXrl17MWDEjvH+dz179rx13LhxxYMHD/5FIJBZ0R133BFdeumlbVnQlF133fWzSpUquZDYWPwWfFjVuHHjK/l7InaJPjRp0uRvfk5wtrD4NQ0aNHjDv8mKv5CV5/5bIIB8nNJE9DB+nnYgrV69ev8YM2bM+RdeeGFVHOCtn39APBowYMAonP2WP+NrmXgj7x0qkILw2GOP7RAEXwVhypQpEalenUw6p1mzZp+G8bSioqIfDzrooEUE5SD8iEpLS3n75x994J6W/fr1e4Q/y+/RKNPp69evb7HTIDBINGLEiKhHjx4TQfa/w0ANGzb8BgcH3XDDDRG1GIEyb//8Azhx9ABvSjJi3L+RBe25YsWKSBMIbfny5dHvf//7ONpJEG655Zbosssua9u5c+cHyajycTTLjiy5yPI4/PDDY1/ln/BD5CPqPlq8eHF1AlkORKNGjT659dZb+7z++uvlAOwQhBNPPNGIRtT3rCpVqpQ7wECbL7744uN0XEdN8QAC5RGNHj06uuKKK6JrrrmmGZzwarhP69q160M4VvDwww9H999/f2xmwb333hsvXPM9P8eP/YnoxuT92+0Hxp/41VdfxcRM7eeAQBZGU6dOjV555ZVo9uzZ+xOAz3i7DG54GxD2vOeee9IgeHEw6i6aNm2aC4hBgGBmJAHQ4Id5ArBo0aI4hYluBEfwURTtueee8XvXXXddTKKk6vxwn8ZY35M5I130TTfdFJtAunh5wNeHHnoowtHOu++++1vJe4Mx30QXp/PeT0nkgGDwCFTcTXjdpU+fPgt4uwx+Ws34RfqYAiE4ExyaNWtWnA0lJSVXeGPSIJy//Pa3v23v4HBBnHJ2CzpCbHSL2CEILOI6s+iu7BgHHnjg0ptvvrnyjTfeGAOl3X333TEIZgVRKoR7Vmbv00j9ByHVwieffDJ23q6x//77R8cff3w5CMXFxTGX2JZPOumkmNAJ3Djvh9tukoPMthQIpGe5WaNEQR4YWrdu3e+9MZh1SWTH23dNeRcvIdnCiFpcm7TFiPYV25FHHhnts88+9yTH0CiZ/ySF2zNWRHnEC5APnPf222+P6CLXZe/RSOk/UQb76KPd5csvv4wDR3Rj4Ck9Lvs5CyDx6IQTTohN/7p16zZ2l112KeP3swy0wKdAMP2COThk17pt27ZvhsmDEdXnAKrBgw8+GJdCMKN3+eWXR+eff36kQLKtmSFmCpPflh2HPr2Nshm+9957R8wTR80ykAcYoz9gl3eVpBHVqXYWs8brTWkD53wCAXnH4AuAHc1s1ASC7JuujgH84ZRGfH0KBFIzNhGiVndBF6TqWJPlaTnjn3rqqVTmLFmyJHYqRDGYDpLW1Yl2TosqLCwsI0NmmcaAFFkWBmDdunURDj6YvV4jxd/nuvahlWpmz8KFC2O/DYIZilqM0CQxTwWzHCjNMZTL0tLS0vZY3E5TIIS61Plzzz33CGq7vBUGa968+V/pGJ2tJZnVyX3VeeRyNGjQoFhLBJMbiMg+RPtP2bEEgUy4CoETR0z+ufLKK11I/xYtWvwje7129NFHXyYZJ4HWbrvttriz6I8AqEwFI2m2cNZVnVLaFRldVdLXUiA4UECVnppTwxq6YL4Iy7gMGJsI+/cFF1wQ6wI/D+bEyOz9SPc/Z8ey2yB8ZlPj0X777RcLMuq4ErzyQPZaDc3/FpnWwSyQPLNmMObPnx/P6dwCkTSzwc9s267VzNFSIMiWsi39tCe6OycLiNwPOHq0RCjbjhw5Mjaj7SQ6EWo0mPXNpEej6r7Ljqe+P+SQQ6bZ3yVTa5ZM6oUA+nv2Wo0suO2dd96JXn311WjDhg05pvCxTF2omqUiEBBecekp8LQUCLYZkK7KQhflcwLB8iaftzAS1n/SJEbTMWm+J8HiwJR846Ep/glpHm4JKMqcHy6Ymu9aOtR3ZN1wOUfHf/e73+WYC1NiWw5u8lzwvw2C7MzNXZnwi3yOsHWdj3YocJBgCitfdc6UTGaBf9NBKsMNt+QbD5b+AhHWwVbm3oGs2aW0tPThfNeyW/0Qadze+S666KK4/LLm+4q8QI4uOLzuNAimebdu3U7LKkPNbSd1dqYKMEjqYEbStig/SI7BbFk41pqUfyE7npqfzdZT/F5HTjAAtNV21H1KXgdjq7wUMqtipD0b2JG5MH1R6apjPO9w8TsFAjVXACndnM8JUvcbaruXTKwjwRzE/X1SGwRTTSK2+tFl/pkdD45Q9V2jvFYjWMMImEOaNm36H9lrNYIzN7Q9r63IXKhRl18UX6pVX+Uw7zUzzJQKQYDlm8HS6/I5QYt7lbptZt26WQlmZiiGRDh0i2CCgD6YlW88iPdbQB1qu7N0LCdK8bSqVav+lL2WTdmPBGh8Uv3ls0DSnly5aDPB9wIYgiQQ+mtXcM6c7kAKt6P2Xsw6oRG1u9DghQ4ezPJRHiuwZOfVq1eX2/PPP2+7akoLXJ9vPETSekRWPbuRfLBy5Uqld14CZYyPmeswZa9A5DPT3lcleq9eveK/kyAIkgCYKe4l5A41kVmcAoFJTiVCOanrXgEpeqYLD+mlibqv6oq1a9fG5wGamv7FF19UxPSgrea0Ro3SGf30009HTzzxRNxFzAhAOE9dn70WnzZ17tz5ELUE4OU1zw7dRboHEQT3MlkQzARLRTDsHqGEUiCw+ZglYWWdsH6RtqMUM5o9XbO/O4mISjaKEC3UHBPkjSwd4WXESn0zRsDkGdssTl+QPHwJxkbrr3vttddhnTp1injNMU+P2G3GEdYnf98RCGZD0lIgQGLTFDBZJ4jE54iYHg7q6ZLmbs3U89VzB+s/mB0DYtwN0tuQHUsDsDNefvnl6KWXXoozQUHlK9GZnO96QPiYTCgx4m62gvm3ACCx4w5lINjcxRuoXwPCnAoyYW1JSUlT9wIetmpygf1dojSVkwLJRXGNh605Y7GYFW+99VbNn376Kdq6dWv09ttvR48//ngkKHSbQXShr7L3EISPaJEHWQ68lhv8Ffsg8BK03Yld4q8DgUiMxIkvs05Q188CRAvETRTMHx3ZvHlztGXLlsgjLvf127Ztiz788MPaLDanywDwZlK2xBJYs2ZNLNElVTWCinHGjBntaNE5W/d69ep9Sa0PCTVPu4zr32ywxRkEFaN7GDMBwRUvzix1Q2fmZvc0SUuBQK9vjlhJsbk1CgjPIaBa8nf8w3vxq1HQATvDs88+G61fvz7+nQWNoqz+h0vKx9HIpEs9rbJXGxFFjJHydbuTlQDv/ux9kiWZd4VqMYgedYjgueETSDNSHSFAguP23L/1iWsPpGzugdiHmC3On7QUCJ7Y0oquzTpBza0jlZqJtCYBeWgRNk6mIlGM1Rok2bhVq1ZvZ8eASBeS7jXlD4WVEtc0djFBXboLJWonwAE5WqFfv34rlyxZUsXUlpy9R33hhk0SDiBIinYKdrvxeii5yoMHD17mGCx4gr7KH0lLgWDPBO3OpH5KtRUXF39AnXd8//33oz/+8Y9xTzfNrDlBsH+bekaVVJyRPRbv37//AtK2int3yUux4oK91yiqPJ1b8QWnFLLIx5L3ayxqG9kyXDK2JAyEixeIJAhwV0yWHvPRpaqQZQu9n+xYRBbW8NpwbhIsBYK903QDzYuTDrhvIOqjPSpTK/gEyUzwd9PJeyQdrukDX6S2wYByH47WdOdp1NxUqSvczzuG91tK6guPzJ577jkX2IV7c84fyMg3u3fv3sluIPGp9hzT80WBDJlgOQDE7mSkexO37IvJpFpmhtdl9xopEFSADs6CikB7UbJn04/XIoEbOolncwEEa8zUJhN6sxH6S7iebPgGkroa9ItctIt85JFHYgDsIqalUYUD4qxQXEmWii6BYbEnIJdTp0tyAyT5BhuvUnihwHE851RjyA34Ub1nz567AdLJXB+fh6A2FwJGHQ9zTf3/E4SkBCWNGuDI3cnUBt2FAwcObO7TYFukzAr6zYcNGzYNh2Nl6A6USLxIq+ovWHKA5mRGSguTe6SmuJHELBFJzEMRiW97afWjW729/cFpuUHU31Iyd8EtxxGEk9innIgv48jQByib+BgAH3w0OJEdbCUfwKgidxoEAQjymDSvznvn0I9fC1mx2267fYxyu4H3rmSCBaAet1RSbist8wUQnwJH1AnZIl/ogI/DfE4pAVr71qJgmllGSQ0gYXpqZCawYYqBZrGtnK927dqb8m3xs8Yu9HPmW7hu3bq2tmJ3qOiMchDkjnC2mPeMMQmCwkjykfVRgE1oh+Nbt279AOn1ERNtYdHfsajNLOLJ5s2bTyeah3NfFY+wja4aIhy6yubKWx0y9SVBQTATFDZ+LhD2eInTbPE+n4ALpEQIEHsz/0Tmmw/pvdyyZctNKNKNPk4jIEspxRmNGjU6BrJuIOE6vvLdYIRjfwGQd8JjhWAVghAEhk6bzr7qNLYHDNyHKPZGD+zttUbYL2swYR3KoBNytgsO9gC4Q3Cq0K1t2OQ4jinINraAaHdkgQ0EzkiZFYogidfO4/7Ep0mWi+cOfrlC/iGlm+BrR+ZqwucN8akFYDZhrHb43coM80e/JE9VrFJeYZV8ABysQhCMhN1CQWIamaKiqkByElPajQ8lcWDNmjUvpbfPIxrPk3r/BXl9zt9fkzVf0F7XkgF38NkYQOgoQ0tkAHwJ9fsOXFJqqcj4mqdMRDme25JUovtqdil91SZGFpCKKI8jWevVzLmOLNiksqRcP2W+R3l/AuMcgI+VJFA1iarSRYevAgRLgSAZCYCTCYK/m1pGz2+XsPuLowO6ldiPDwaAR5n4b8laBf0vSOuHuO4GojuPWl9P+cSfQXB/JvUfIc0fkWO49hOua2Pp+OhMs2wsQ1uqEfTBjkpRJagfgNKd8RcA8LuOCXGWHXzwwesY90aCdD0ZsyKQOa+f0YHmkznFKtWdAsFJgpl2AhHAsF63p2cptpoIbg0L1wDjHaJ7GileTKZU8uDTcQC0GuXQiQXem2V50v5OW6Xqz+hqtlwXLgi2Uzdj1jZz1gC8q2D6r71XEOkAyyifg2ntVTwk0We/RwG/DADM8i9ykBEfMu6RCqtly5bFvJC0FAjhPEAOsATCAYqR2c7iJ+JEzgaLCVfSzlp5j8pRMvN4zRLyGaCkx99VuObucA/l4qP504PQkbRUc7K16eszDMvGGoYs92Xe1cmMa9Omzb34V9MMcQ67jnNKogYLeT+KEil/kEzW/Z1s6GcLNhvCF0S0FAimnSZDC4YAWCKAUBVRM9cvRIVBgxHhJ/i8oQs38rY2o6FD7jP8XZKThSHD3YhK/GULHPwHC+9tJPxGiqJH9WftCoBA+DBo/vz5XbmnXIRp1P39kGlN+UEidU5BULXaUUxxJH41Sueh5H1kzgY+aywQ4RRMqxAEU1DnsQLQviE5WDBa1ZNolJZ2EaIct6EkCGaCTvlqVK1JiHWG90KGH1DzbVetWhU7bXSsWxcjADoHm3ej63yUnBNy/YD6j3nEFqxEDiAosvTZsTy1wq8x3JPajCECZ3l2YcY53+zZs/ODoFkSdgpSfWq2ljWI6X0W11oAQkSs7QCCtW0mKMUdx6zyFScH1K1b90da2uNEucAWZuvSKetaIK1bZHBXOkXqC1qWAyUwXt9Uq3KAHc055SDnMhj6Amn7+0i4K/XdCtrsRuZsY6bb+bQUCKZiMFFicQPR6zlPh6tVq/YTkR7jJkhHXLAOyAlqCTuJJGcp2eKCWbt81tM9AVGc60K8T3MTJgAuEALbFcbPeWCDbF+Cb9XlD8WQmeXinVPyVk+oR1Sf/o6OOBXC/jE5BiX9Dfx2rODZBbUUCKpDzRShHNqSBTmnPBr1/xjRqipzW+u++v0EWV0NofhRUyhw3CAF00EI7XjPMZl8shyiHlAu+zRZYvSEiU6Q8w0VWuH3tOvBAr1dxcagW7YCqLgzI804TWAB/UQIOOdwB99mC6BaJ6ccdEDzoQRITUruIoMVFRVtJRpHuXhbTtLs6zqoQ0bG+jQbgukYqTuQVH2FMfpZAi5CQhRAwSQ7jqD8Uu1XgwdWbdiwoSAc04fnG5KcnOIW3e9MSLK2VwmXsfxqTs4BDcFZRbBqyilaCgRr04ig6lpAeu9lb9Ygqsfp7dXCdwGy5oIsE9Wk29ukCRTO1gL9vSiPmmaM7dMFeNgKELXpNmvzzUu0J7377rvx2UOwF154If5Wi2M7RrDt3aUKrTLv03Wy6ikItq5fDtFSILgIkYTAzst3M/X0A7vCYxQ4ppG8kTSzyBQzrQU0a6ag4HiaRM1HbLzimnRDJQjU+uh8O0U0wrsQWUfbaHKxdhznck7HCObehEAUUVYrsmNpzLuObHSfE59Op0BQtDBZMQT0Sr6b6c9v8nkzIy05VWQuNh8ImkA7j8RlJvi34MHYDciK1fnmRa3eGThA4gzme/KB+sD2GEzCpSzbIJzyPlJkb/Gkmz3n11IgGGFqeVi+h6Ke6lDP17oBsu6TziRNjWGtG+18IMg3vtpBgpByITD8qOycWu3atbdCoEcbYfkjmC3Olmob9n61SLDtQq03JZ1qsZo8h/iabgYYCC0Fgj2T9nJZ9kYNRv8BR46yC6jpd2SKndD/TdekmcIuwDbmfsSOQcSKcCzvlzPYhX4ECTe2XJJ6X/PAV5L0s6R5VEfrPIlg/ivPmD8CxNjCwsIoWAoEbqyNY4vz3Ogh559ZQAcnlsV3ZDK9KS6oCi8XbQZpRtT3Pcs0bTUIrAMyOu/3EsiY5bB+VcvGMtT83YyyPILED+bYBgKumZdvPPjgczpVH5Ws2ailQCCd29PP8z4/JH1WMWldScjJKzIXqiNmgZ3CjuAmyRIJUtWycxFmiwRHHQ+l9aaUnWbqInOnumjBC2PIO5akLddWHASX5oMcXuujaOOT5qyRdS/QamvbTgPBpkBAf5/SsGHDeKuatZKSkjvprYUi50lRReZxmWrxjTfeiM3nFLYx6zQowhA1fxdURM20fHPWqFHjW/r4kfKGu9NgnlK7szXr7GbBXJj7BnihN/dvzo6nDRky5Bb92rRpU/Tee+/FlgIBxTU73wNZ9w4s7nQnd7cooeWzUnS7fV8h5eKfeeaZ8qN09b1q0ggmyc1Wy7j+p0rOvG6WWGx7F2yEgym8lMtugxVKwcJXELk+7zfg6tSpsw25PVigbLfBUiCA8uVK2uzNvgeRHWeU6b15zeMvNy3uEVRsnhoraAIISlllrXsNpbJcYDtj09W4V69eeb/JDqj3QqZFpr8lFMx9gyUSOk4wywtrSulWVAqPQaiFgifBB8uCkPf7CTCoX685yUdcHlrkM3duZoMbE+VzFgQPaMwGt7weqmpmDfd07NChQ3xUljU6xo2IqgLHDsLGluYxnFE3rX1WEey1116TM/rm+6IY9j+U8nCJNJxiBUuBQLRm5gPBEmELOtLJ3ccHs735nurPlqcOl6gqAsHdnjzg72aVpTVgwIDd2ajF/0yWNEuQz6e48wwaX5PVNbftErA840bMTZgkTJbF5xVZA+gVzFVkSfo8I2kpEFBewyDG+N9jkiYI3bp1G2GqJx2SIyRKDzb8Ko3v7QiEwAlmg7tMOYT79wSEnP9sQT5/Q/l0lzNUhoLnvf5uezUrLUFfLUeV3+DBg/do1arVpuxYdevW3YZK7WfnsgQVWElLgTBhwoSmRDbnyxWqRSY+UyZXpdn7fVX+ehrtMweBEASZXGL0Gyj+a44pa3fwQMWoeq8p6QMWF4Paa05WrMnOWbly5c2oxS6Oa8b56mk3wYifankAnOwYjgUYF2TH0dAhcwzIxo0b4+8/Zy0FgukF+jnfT9CI3ELqp8BrZHbFkOSm6vOhSADBxaoBXLiqzixAxTUg6uNIx36hJo2qJKeGoEyuyc7nA110wqH8nvpR4UmutsNAkkp0fGpJyufsFfDtWeZqqJK0W/nAN2spEKwrojWIVMwRLmyeXl++fHlzW4pAmFoSoltRAQggqN1taS7Sozcjz7jnOwbd4w4XYBb4lm1OQAFhdPbsAh++btKkyX7hQIYFxlkgj4Rs8F7HUICRDTn/p9W0adNPUbldXbwtNCm5k5YCQachlkJI7r7sgBIVrWqc6LtYycnHahKkTgYQ3MyYISo7o055DYNstzVo0OAzevwB8oFAWZvu/iwnAGnEOM9l5ttK5+hva5VQ3XJ7n2XAniBCZpfXN3yzb/369VNcgGL8GIldarrbSVxsUlMkLQWCDnq+iFOd3SskB9Wo/Q8gvi5GwToMZRBACCfLjgNYPmu81PtoWVtg8B72dtncxRtByU6g3FixmJORzqn5aIlzzRx9koSte8lVAHzO6PvogyLaZuqbLXz+d+bq6f9GJLMgu/hgKRACCxtFnBpCp0j9I5YpCzm9C/n1UKfbEQJp+aoYcnFI5BIW8IT3AOYnOHuYpz/Wr+3MjDOFwwGLmyLKqwDemZNs0Wx2PqT89rL12UkCCPgVUZ76WoPMuD1cr9FpXmHMQ4NilZsURDsNgjVmZKxnax5nByFYcloOzv0NATOXFD4c60Em9ML60rIuhydWEqX4Cxuw+xKc3MvjrqD6zAQ5w82WANhhfFVCk/ICcW0yI/r27btuxIgRjRVWpr9A+9AWcEmA/ddQGvF1vPcv2uX1ZFkTd7G2Zs8ftX8bBM2MkPx8JbU7gu7dRCjn3/Ng8K048TX1+x2Ox3t3swVOeQlFOBRgCtUW4SRqRyAIvooSIKpQVqe2bdu2/N+CKacPAH0mn40DlEtq1arlt9HiDZJPv4uLi1cx5hC7jorVMwvPHz2U/dUgWHMaqVgdkiohHacRkVXU3CeeBRoFnwCz2/sXJbGRfnwLZTKMcqjv4v0WmYrMlrmzIEiCbpDggjbwzyQWv4aNz/csVrL7yafQZKL/5vsqhHghmXMwGVjXMpOPFGueJ/y/giC6ymIVn1zBAurgYAmLOIOSOZ0WOJZucAQ80Zh0raTCk/jcVv9SEBRVcobvUZK1uL8nfo3n3vMBeDy+dcVqyF92JPcTtl07k1z1y0Eoi/4XqGysnSoq3BwAAAAASUVORK5CYII=</Base64Image>
  </Logo>
</Logos>
</file>

<file path=customXml/item3.xml><?xml version="1.0" encoding="utf-8"?>
<HelpItems xmlns="http://www.oecd.org/one.check/2016/help" Version="1.80.1.0">
  <HelpItem>
    <Id>introVideo</Id>
    <Title>About O.N.E Author </Title>
    <Text/>
    <VideoLink>https://www.youtube.com/embed/J_gS03VB6UA</VideoLink>
    <MoreLink/>
    <MoreText/>
  </HelpItem>
  <HelpItem>
    <Id>ONEAuthorHelp</Id>
    <Title>O.N.E Author Help</Title>
    <Text/>
    <VideoLink/>
    <MoreLink>https://community.oecd.org/community/oneauthor</MoreLink>
    <MoreText/>
  </HelpItem>
  <HelpItem>
    <Id>Wiz1</Id>
    <Title>Insert Word Table</Title>
    <Text>Go to the add-in → Tables, Figures and Boxes tab → Table → insert an empty table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Wiz2</Id>
    <Title>Insert Excel Table</Title>
    <Text>Copy the relevant table in Excel.&lt;br&gt;Go to the add-in → Tables, Figures and Boxes tab → Table → insert a table from the clipboard → Insert.&lt;br&gt;Note: Tick the box "Include chapter number" if you would like the chapter number to appear in the table number e.g. Table 1.1. not Table 1.</Text>
    <VideoLink/>
    <MoreLink/>
    <MoreText>All the necessary styles for your table will be inserted in just one click including the table cell, row heading and column heading styles. As Word's caption style is used for the title, numbering will be automatic and you will be able to automatically generate tables of tables/figures/boxes.</MoreText>
  </HelpItem>
  <HelpItem>
    <Id>Wiz3</Id>
    <Title>Insert Figure</Title>
    <Text>Go to the add-in → Tables, Figures and Boxes tab → Figure.&lt;br&gt;Choose whether you want to insert an empty figure, a figure from the clipboard or a figure from a file. If you choose to import from a file you can choose to import as linked to the source file or as static content.&lt;br&gt;Note: Tick the box "Include chapter number" if you would like the chapter number to appear in the figure number e.g. Figure 1.1. not Figure 1.</Text>
    <VideoLink/>
    <MoreLink/>
    <MoreText>All the necessary styles for your figure will be inserted in just one click. As Word's caption style is used for the title, numbering will be automatic and you will be able to automatically generate tables of tables/figures/boxes.&lt;br&gt;&lt;br&gt;If you inserted a file as linked to a source file it will be updated automatically to match the source file when you run the Quality Checks.&lt;br&gt;Note: you will need to break any links to external files before submitting your document (File → Info → Edit Links to Files).</MoreText>
  </HelpItem>
  <HelpItem>
    <Id>Wiz4</Id>
    <Title>Insert Box</Title>
    <Text>Go to the add-in → Tables, Figures and Boxes tab → Box.&lt;br&gt;You can choose to insert an empty box or create a box from text on your clipboard.&lt;br&gt;Note: Tick the box "Include chapter number" if you would like the chapter number to appear in the box number e.g. Box 1.1. not Box 1.</Text>
    <VideoLink/>
    <MoreLink/>
    <MoreText>All the necessary styles for your box will be inserted in just one click. As Word's caption style is used for the title, numbering will be automatic and you will be able to automatically generate tables of tables/figures/boxes.</MoreText>
  </HelpItem>
  <HelpItem>
    <Id>StyleBox</Id>
    <Title>Select Styles Tool</Title>
    <Text>Home tab → Styles group → More (i.e. the arrowhead at the bottom-right corner of the Styles Gallery)</Text>
    <VideoLink/>
    <MoreLink/>
    <MoreText>If you prefer you can also display the Styles window by clicking on the arrow at the bottom right of the Styles Group (or Alt+Ctrl+Shift+S).</MoreText>
  </HelpItem>
  <HelpItem>
    <Id>STY1</Id>
    <Title>Heading Part Style</Title>
    <Text>
      Use the shortcut &lt;b&gt;Alt + H,P&lt;/b&gt;.&lt;br&gt;
      Or go to the Home tab → Styles group and choose "Part" from the Styles gallery.&lt;br&gt;
      Click on the Multilevel List button and apply the numbering style where heading 1 has a chapter prefix (and heading 6 has a Part prefix).&lt;br&gt;
      Use Heading styles within the body of your document only. Title styles should be used for front matter e.g. Executive Summary or Foreword.
    </Text>
    <VideoLink/>
    <MoreLink/>
    <MoreText>
      The Multilevel List button can be found on the Home tab in the Paragraph group.
      &lt;br&gt;&lt;br&gt;
      &lt;b&gt;Tip:&lt;/b&gt; To add the Multillevel List button to the Quick Access Toolbar, right-click on the Multilevel List button and click Add to Quick Access Toolbar.
    </MoreText>
  </HelpItem>
  <HelpItem>
    <Id>STY2</Id>
    <Title>Heading 1 Style</Title>
    <Text>Use the shortcut &lt;b&gt;ALT+1&lt;/b&gt;.&lt;br&gt;Or go to Home tab → Styles group and choose "Heading 1"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STY3</Id>
    <Title>Heading 2 Style</Title>
    <Text>Use the shortcut &lt;b&gt;ALT+2&lt;/b&gt;.&lt;br&gt;Or go to Home tab → Styles group and choose "Heading 2"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STY4</Id>
    <Title>Heading 3 Style</Title>
    <Text>Use the shortcut &lt;b&gt;ALT+3&lt;/b&gt;.&lt;br&gt;Or go to Home tab → Styles group and choose "Heading 3" from the Styles Gallery.&lt;br&gt;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&lt;br&gt;&lt;br&gt;In just one click, all heading numbering will be updated throughout the document.&lt;br&gt;
      &lt;b&gt;Tip:&lt;/b&gt; To add the Multillevel List button to the Quick Access Toolbar, right-click on the Multilevel List button and click Add to Quick Access Toolbar.
    </MoreText>
  </HelpItem>
  <HelpItem>
    <Id>STY5</Id>
    <Title>Heading 4 Style</Title>
    <Text>Use the shortcut &lt;b&gt;ALT+4&lt;/b&gt;.&lt;br&gt;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STY6</Id>
    <Title>Heading 5 Style</Title>
    <Text>Use the shortcut &lt;b&gt;ALT+5&lt;/b&gt;.&lt;br&gt;
      Use Heading styles within the body of your document only. Title styles should be used for front matter e.g. Executive Summary or Foreword.
    </Text>
    <VideoLink/>
    <MoreLink/>
    <MoreText>
      By default, Headings 1-3 are styled with the numbering format 1. / 1.1 /1.1.1 and headings 4 and 5 are unnumbered. To change this:&lt;br&gt;
      1. Place your cursor on one of your headings. &lt;br&gt;
      2. Go to Home tab → Paragraph group → Multilevel List. Alternatively, use the Multilevel List button on the Quick Access Toolbar. &lt;br&gt;
      3. Select the desired numbering format for your headings from the List Library. &lt;br&gt;&lt;br&gt;
      In just one click, all heading numbering will be updated throughout the document.&lt;br&gt;
      &lt;b&gt;Tip:&lt;/b&gt; To add the Multillevel List button to the Quick Access Toolbar, right-click on the Multilevel List button and click Add to Quick Access Toolbar.
    </MoreText>
  </HelpItem>
  <HelpItem>
    <Id>STY7</Id>
    <Title>Body Text Style</Title>
    <Text>Use the shortcut &lt;b&gt;ALT+p&lt;/b&gt;.&lt;br&gt;Or go to Home tab → Styles group and choose "Para" from the Styles Gallery.</Text>
    <VideoLink/>
    <MoreLink/>
    <MoreText>&lt;b&gt;Tip:&lt;/b&gt; If you don't see the style you need, click the "More" arrowhead at the bottom-right of the Styles Gallery.</MoreText>
  </HelpItem>
  <HelpItem>
    <Id>STY8</Id>
    <Title>Num Doc Para Style</Title>
    <Text>Use the shortcut &lt;b&gt;ALT+n&lt;/b&gt;.&lt;br&gt;Or go to Home tab → Styles group and choose "Para #" from the Styles Gallery.</Text>
    <VideoLink/>
    <MoreLink/>
    <MoreText>&lt;b&gt;Tip:&lt;/b&gt; If you don't see the style you need, click the "More" arrowhead at the bottom-right of the Styles Gallery.&lt;br&gt;&lt;b&gt;Why use the Para # style?&lt;/b&gt;&lt;br&gt;Your paragraph numbering will update automatically as you add and delete paragraphs eliminating the risk of numbering errors.</MoreText>
  </HelpItem>
  <HelpItem>
    <Id>STY9</Id>
    <Title>Num Chap Para Style</Title>
    <Text>
      1. First, make sure you have chosen the appropriate numbering style from the List Library.&lt;br&gt;
      2. Go to Home tab → Paragraph group → Multilevel List. Alternatively, use the Multilevel List button on the Quick Access Toolbar.&lt;br&gt;
      3. Check that you have selected the List Style where you see Chapter 1. for Heading 1, followed by 1.1 Para #.#.&lt;br&gt;
      4. Then use the shortcut ALT+c to apply the Para #.# style.&lt;br&gt;
    </Text>
    <VideoLink/>
    <MoreLink/>
    <MoreText>&lt;b&gt;Why use the Para #.# style?&lt;/b&gt;&lt;br&gt;Your paragraph numbering will update automatically as you add and delete paragraphs eliminating the risk of numbering errors.</MoreText>
  </HelpItem>
  <HelpItem>
    <Id>L1</Id>
    <Title>List Bullet Style</Title>
    <Text>Use the shortcut &lt;b&gt;ALT+b.&lt;/b&gt;&lt;br&gt;Or go to Home tab → Styles group and choose "Bulleted List" from the Styles Gallery.&lt;br&gt;Tip: if you prefer, you can use TAB and Shift+TAB instead of the increase and decrease indent buttons on the Home tab.</Text>
    <VideoLink/>
    <MoreLink/>
    <MoreText>We recommend using the dedicated list styles rather then the Bullets button on the Home tab. If you do use this button, you will need to first select the text, then use the button and adjust the indentation manually.</MoreText>
  </HelpItem>
  <HelpItem>
    <Id>L2</Id>
    <Title>List Number Style</Title>
    <Text>Use the shortcut &lt;b&gt;ALT+u.&lt;/b&gt;&lt;br&gt;Or go to Home tab → Styles group and choose "Numbered List" from the Styles Gallery.&lt;br&gt;Tip: if you prefer, you can use TAB and Shift+TAB instead of the increase and decrease indent buttons on the Home tab.</Text>
    <VideoLink/>
    <MoreLink/>
    <MoreText>We recommend using the dedicated list styles rather then the Numbering button on the Home tab. If you do use this button, you will need to first select the text, then use the button and adjust the indentation manually.</MoreText>
  </HelpItem>
  <HelpItem>
    <Id>L3</Id>
    <Title>List Continue</Title>
    <Text>
      &lt;b Style='Color:red'&gt;Obsolete&lt;/b&gt;&lt;br&gt;
      1. Hit enter after a bulleted or numbered list item. &lt;br&gt;
      2. Delete the bullet or number. &lt;br&gt;
      3. Type your text.
    </Text>
    <VideoLink/>
    <MoreLink/>
    <MoreText/>
  </HelpItem>
  <HelpItem>
    <Id>L4</Id>
    <Title>Demote List Style</Title>
    <Text>Use the standard Word button:&lt;br&gt;Home tab → Paragraph group → Decrease Indent button&lt;br&gt;Alternatively, press Shift+TAB.</Text>
    <VideoLink/>
    <MoreLink/>
    <MoreText>If pressing Shift+TAB does not work, go to File → Options → Proofing → Autocorrect Options → AutoFormat As You Type → Tick the box "Set left- and first-indent with tabs and backspaces".</MoreText>
  </HelpItem>
  <HelpItem>
    <Id>L5</Id>
    <Title>Promote List Style</Title>
    <Text>Use the standard Word button:&lt;br&gt;Home tab → Paragraph group → Increase Indent button&lt;br&gt;Alternatively, use the TAB key.</Text>
    <VideoLink/>
    <MoreLink/>
    <MoreText>If pressing TAB does not work, go to File → Options → Proofing → Autocorrect Options → AutoFormat As You Type → Tick the box "Set left- and first-indent with tabs and backspaces".</MoreText>
  </HelpItem>
  <HelpItem>
    <Id>Menu1</Id>
    <Title>Set Number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Menu2</Id>
    <Title>Set Bullet Style</Title>
    <Text>A harmonised formatting for bulleted and numbered lists is proposed and will be applied when you use the Bulleted List (ALT+b) or Numbered List (ALT+u) styles. We recommend that you use the default styling but, if necessary, you can change this using standard Word functionality.</Text>
    <VideoLink/>
    <MoreLink/>
    <MoreText/>
  </HelpItem>
  <HelpItem>
    <Id>L6</Id>
    <Title>Reset Format</Title>
    <Text>
      &lt;b Style='Color:red'&gt;Obsolete&lt;/b&gt;&lt;br&gt;In AE2007, this button was used to apply the original style formatting on a selected paragraph.&lt;br&gt;
      1. Home tab → Font group → Clear Formatting button (eraser icon).&lt;br&gt;
      2. Reapply the appropriate style.
    </Text>
    <VideoLink/>
    <MoreLink/>
    <MoreText/>
  </HelpItem>
  <HelpItem>
    <Id>L7</Id>
    <Title>Reset Styles</Title>
    <Text>&lt;b Style='Color:red'&gt;Obsolete&lt;/b&gt;&lt;br&gt;In AE2007, this button was used to apply the original formatting all styles throughout the document when troubleshooting.</Text>
    <VideoLink/>
    <MoreLink/>
    <MoreText/>
  </HelpItem>
  <HelpItem>
    <Id>T1</Id>
    <Title>TOC</Title>
    <Text>To insert a TOC and tables of tables/figures/boxes go to:&lt;br&gt;References tab → Table of Contents.&lt;br&gt;Choose one of the pre-styled OECD tables of contents. You can choose the language, number of heading levels and whether or not to include annex tables and figures.</Text>
    <VideoLink/>
    <MoreLink/>
    <MoreText>The TOC and tables of tables/figures/boxes will be automatically updated when you run the Quality Checks via the add-in.&lt;br&gt;&lt;br&gt;If you do not need a table of boxes (or figures or tables), simply select the relevant table and delete it.</MoreText>
  </HelpItem>
  <HelpItem>
    <Id>T2</Id>
    <Title>Convert</Title>
    <Text>&lt;b Style='Color:red'&gt;Obsolete&lt;/b&gt;&lt;br&gt;The convert button served multiple purposes in AE2007, all of which are managed in more intuitive ways in O.N.E Author.</Text>
    <VideoLink/>
    <MoreLink/>
    <MoreText>
      1. &lt;b&gt;Converting selection → Charts/Figs./Tables Properties:&lt;/b&gt;&lt;br&gt;Charts/figures/tables can be easily inserted the add-in and titles can be directly modified as necessary.&lt;br&gt;
      2. &lt;b&gt;Modifying the cote, document classification or document language:&lt;/b&gt;&lt;br&gt;Modify directly on the cover page.&lt;br&gt;3) &lt;b&gt;Modifying the page size:&lt;/b&gt;&lt;br&gt;Page Layout tab → Page Setup group → Size button&lt;br&gt;4) &lt;b&gt;Modifying the page orientation:&lt;/b&gt;&lt;br&gt;Page Layout tab → Page Setup group → Orientation button&lt;br&gt;5) &lt;b&gt;"Convert to publication"&lt;/b&gt;:&lt;br&gt;Change the cover page to a publication cover page via Insert tab → Cover Page → Publication
    </MoreText>
  </HelpItem>
  <HelpItem>
    <Id>T3</Id>
    <Title>Page Break</Title>
    <Text>Use the standard Word functionality:&lt;br&gt;Page Layout tab → Page Setup group → Breaks button</Text>
    <VideoLink/>
    <MoreLink>https://support.office.com/en-GB/article/Insert-a-page-break-7613ff46-96e5-4e46-9491-40d7d410a043</MoreLink>
    <MoreText/>
  </HelpItem>
  <HelpItem>
    <Id>T4</Id>
    <Title>Footnotes/Endnotes</Title>
    <Text>
      Use the standard Word functionality:&lt;br&gt;References tab → Footnotes group → Insert Footnote button/Insert Endnote button
    </Text>
    <VideoLink/>
    <MoreLink/>
    <MoreText>
      O.N.E Author uses standard Microsoft Word functionality to facilitate collaboration with external partners. In Word, it is possible to insert either footnotes or endnotes. The notion of "footnotes" for tables, figures or boxes does not exist. You can either:&lt;br&gt;
      1. Use standard footnotes and have the notes appear at the bottom of the page.&lt;br&gt;
      2. Manually insert superscript numbers (Home tab, Font Group, Superscript button) and manually number the notes.&lt;br&gt;
    </MoreText>
  </HelpItem>
  <HelpItem>
    <Id>T5</Id>
    <Title>ParaNum Options</Title>
    <Text>In AE2007, this button was most commonly used to remove paragraph numbering throughout the document. You can replicate this using Word's standard find and replace functionality.</Text>
    <VideoLink/>
    <MoreLink/>
    <MoreText>
      1. Home tab → Editing group → Replace button&lt;br&gt;
      2. Format button → Style and select Para # in the styles list.&lt;br&gt;
      3. Click in the "replace with" box.&lt;br&gt;
      4. Format button → Style and select Para in the styles list.&lt;br&gt;
      5. Click "replace all".&lt;br&gt;
      &lt;b&gt;Tip:&lt;/b&gt; If you don't see the Format button click on the more button.
    </MoreText>
  </HelpItem>
  <HelpItem>
    <Id>T6</Id>
    <Title>Reset Counters</Title>
    <Text>
      Use the standard Word functionality. &lt;br&gt;
      1. Right-click on the number of the numbered paragraph that you want to change.&lt;br&gt;
      2. Click Set Numbering Value&lt;br&gt;
      3. Change the value to the desired number.
    </Text>
    <VideoLink/>
    <MoreLink>https://support.office.com/en-gb/article/Change-the-numbering-in-a-numbered-list-a9731137-8a85-47ce-a7e4-8b1c6c8c77a3</MoreLink>
    <MoreText/>
  </HelpItem>
  <HelpItem>
    <Id>T7</Id>
    <Title>Annotation Mode</Title>
    <Text>&lt;b Style='Color:red'&gt;Obsolete&lt;/b&gt;&lt;br&gt;This AE functionality was used in very few documents. However, if required, you can recreate the same format using a two-column table.</Text>
    <VideoLink/>
    <MoreLink/>
    <MoreText/>
  </HelpItem>
  <HelpItem>
    <Id>T8</Id>
    <Title>Insert OECD Letter</Title>
    <Text>Insert tab → Text group → click on the arrow next to the Object button → Text from File → browse to the relevant file → Insert</Text>
    <VideoLink/>
    <MoreLink/>
    <MoreText/>
  </HelpItem>
  <HelpItem>
    <Id>T9</Id>
    <Title>Find Cotes</Title>
    <Text>Document code (cote) enrichment (ex. Find Cotes) is part of the Quality Checks. To run the Quality Checks feature go to the add-in → Quality Checks tab → Run.</Text>
    <VideoLink/>
    <MoreLink/>
    <MoreText>If an invalid document code (cote) is found you can click on the "go to anomaly" button to be taken directly to error to correct it.</MoreText>
  </HelpItem>
  <HelpItem>
    <Id>P1</Id>
    <Title>Author</Title>
    <Text>&lt;b Style='Color:red'&gt;Obsolete&lt;/b&gt;&lt;br&gt;File tab → Info tab → Related People field → click Add an author → type the name on the box or click on the address book icon</Text>
    <VideoLink/>
    <MoreLink/>
    <MoreText/>
  </HelpItem>
  <HelpItem>
    <Id>P5</Id>
    <Title>Validate</Title>
    <Text>O.N.E Author add-in → Quality Checks tab → Run button&lt;br&gt;&lt;br&gt;The Quality Checks feature in O.N.E Author performs various checks and automatic updates.</Text>
    <VideoLink/>
    <MoreLink/>
    <MoreText>The Quality Checks feature includes updating the cover page, table of contents and other fields like table/figure/box numbering; structure checks e.g. missing heading levels and formatting checks e.g. new styles. Document code (cote) enrichment, i.e. the new Find Cotes, is also integrated within the Quality Checks feature. If no major errors are found, the “Submit your document” button will be available.</MoreText>
  </HelpItem>
  <HelpItem>
    <Id>InsertEPSEMF</Id>
    <Title>Insert Chart/Image</Title>
    <Text>O.N.E Author add-in → Tables, Figures and Boxes → choose either EMF or JPEG file</Text>
    <VideoLink/>
    <MoreLink/>
    <MoreText/>
  </HelpItem>
  <HelpItem>
    <Id>P4</Id>
    <Title>Para Spacing Options</Title>
    <Text>&lt;b Style='Color:red'&gt;Obsolete&lt;/b&gt;&lt;br&gt;Appropriate spacing is integrated in the O.N.E Author styles.</Text>
    <VideoLink/>
    <MoreLink/>
    <MoreText/>
  </HelpItem>
  <HelpItem>
    <Id>StyleGalleryClassic</Id>
    <Title>Style</Title>
    <Text>
      Available under the the Quick Access Toolbar. &lt;br&gt;&lt;img alt="Embedded Image" src="data:image/png;base64,iVBORw0KGgoAAAANSUhEUgAAASYAAAAqCAIAAACRE2FCAAAAAXNSR0IArs4c6QAAAARnQU1BAACx
      jwv8YQUAAAAJcEhZcwAAEnQAABJ0Ad5mH3gAABDiSURBVHhe7Z15VBRXvsczfyUz43vPyWTeecY1
      TtQkRqKZLEYRjEQiCqICsqOibCKCKIvsakYQIYFmbWikF+imm6UbEBBkcUFFRARxiRodxCSujCuL
      Eqn3rS5C2urqhkbljKF+53vqlLdubffez/39frdafY1gjTXWhtFY5FhjbViNRY411obVWOTUrKeH
      ePyY1VDU29vXhqxpNha5Z+10M2FjQ0yezEpn6ekR0dFER0dfS7KmwUjkMDf1skYaQXh7E3/4A/Ha
      a6yGotGje7//vq8tWWOyPuR4iiZDtyyzzbkjXAsCio9N/gd9GLHSRZ5OsQv9FbSGZQWZeOfYhii6
      Hv9CIredV/vf82MnmSeNcL1pyS//Pz1q6OycZb3QNHKZcZi5cSgrbVoUDrWO+l+q3RZ+GfI3Cx6t
      YVlBby/h6NnxOrt7SOSiBMfGmHA+sE4b4RrvkFU5diY1dNYa+ox2zh9vJxhrw2elSeNsBWi0cY5Z
      50ePo9pt6aKISfYCWsOygqZYpMx2FrDIPSNV5Dz1Pd+yFoUnFOUWVQlzK1ipS5RXkV1QOc9NONky
      7cL/jGWR0y4WOQbRkPvLSiE3u6z7wc0n3Y9Yqaun+9H3Z5sWeAomWbDIDSwWOQbRkHtzpZDD3/uk
      6wGaiDVGO326eb4HnxG591fSm3eESxtyaKzBqL/+70aMyHV33KOGF2vq1tzcxIjcNEvuO8uS37Pi
      Ug37/kCDqr8LhqCXevEXKGbkptukvbsiZcLSpImQuWYtTUKdKRapqK960cHovZXcaVZcdMb7K/v6
      4+UJ96JavP+mELmj4dYscroaE3LhE+34Zr5Syb6mhV5iDCc0LPDTPqI09chgNMlc88WV5cMw0gYj
      ZuTwfAGc/ZXHLuw7cr6m/mL1cQahvOzwedRx3l6E+qoX1S6M/uk26QZuIhMfqYm3DLenVXiBeg/3
      sk6bs1Y4yzEDM66BW9ZiH+mijTmQibd0nqtohm26ek+wyOlq6siZGodPsONX1l0gfulculmGQY9+
      F5eeOtJ4mTaQKB1QDrP57lkUnDoJoH5om84vOnmo4RIuUvWsUFJz4qK8+swXawVTLFNp5w6/mJEb
      s5gjLD6JkqIDZzfGlG1NrFQXyo+euow627g1qK96US2ivA2GvmVggX1Ykalv7sdOmS/J6aMnZjlk
      GHlKrALleEn0JSDHTW2CC22CFbYhhdZBis/W8OHuaCeyyOlq6siZfR0xwZbvFK74ofW6sZd4glki
      GnZDdGlIchVtIFEKUm4/W505zUpnKtCDHznwWq/d5EiOukeWeO4qxY0oYX99VGlYavXNW3e+3iiZ
      rDvPL1zMyL29JCEtv54gngYk7P+TYcxY00R1oTxFVoc6wUlVqK96UU0io23rNH1XkUVAgU1I4WIf
      2UyHDDzBNMtUNPSvcSb9rKEJvH3slLHIWwrAcLtPVmUCua835gA2kAaZbc41dMvSs+ep31Ercrca
      ctN3+fn5BwZs8Y8pOn2zS1k6wo0JuXAgl5BT19XxoK75CoKavyNVMUsauySBNpBUhQGAqITWHQMK
      IwcDqel8G5zkDt5BQfFJnvwEpT2FDUmyun847Tl5ptVkowTPQDt3+DUAcuHcGk04oTxDfkIn5D6w
      SZ/rIloRUIARvzJIvnRz3sINkq82SMitp+RLj+y5LsKP7DOeJ6CnBIqQXuKytqGFizfJPlvNRyg7
      1ZIL5ODcjDfmmG/Jg5vFnMp4L63IXRRvcPH0ikzPlWVFuK4LFxy89khZPqKN0ctNtBdsjqsITq6K
      4NYgqHt7cQJ4e9fixYd2FHKnzl1FBHvj1h3lE/3yq54SRJepr/RES+uikYYc/BsC7kU+Mvg3q61y
      yDpYgTDPQSn70CKUA4Mlm2T660SoqQ4DpsCp8IdKYUdLNoyaiBiX++cv9y/4lIxVSOeJLfI3h/Di
      z535c11FYN7EO+cjex4q007XitwPOZsCkgvOd2L30aFYD/+kovP3lQdGsjEtn5ArluPNEkHamMUJ
      SKQzFA2lh8+Zb5HpFMuQV4Bj7BOzG6SQa/6+zXST1DqoYH1UCcLLLXEVCCndI/eu3V4M4JvPt2lC
      DiNT9S7j4Gyfe9LXIu3I9frF739zYRxchOo5EEpGG32XJEVg2auDl7NOw3A398sDbCuDFEt8ZPou
      ornrhNgi2oSXA28I/CwD5XPWCcn6Kh2DVkAduCkjTzG0aKMUsaI6LZTQB7ga7oItHpWC8z2rNDQ9
      SJuzVgikkUaC8E9XkUCqngtpR07q6x+ffeIGuX+92Hfzt/y66wRxp16cumtrSEjEdmndj+QHvNsN
      +SXlkvTY2OyqK/fbmqRpu4JCQiO259b//BDz7itpXC43KiqKw+HExcXt2LHjxg1lGyhNE3JUewIw
      yCu6TLKvqbT23JfuImqNhAISg6dfqkShxxGqpBWcEJc2AVd+0UlZRfM8F+EUNT9JIYfA0sxXGpRU
      lSitixYcxrm7BIezS0+l5h1HwAkfyIgczsW0m1l4MqvkFO4iKG6UlDXNXsPHnE6rqUl4NVDa/woI
      j7UvjWpF7unj483/MvGRgK7+K1JCiVOY4tylH1FHh1yObHru7LUC+B+bEAUCS4R8Uy1SISppRsMh
      zgSNSLQ+dtyjShQ64LM1mdSiCzwVgJmJEFQzcsYbcuA5wRgtHcfbznLcAz8Jeu1CCj9fgwq6Ifeb
      l7tdHO4amFr+A9K5+xcOVhSKZbKETe7bJdVtnUSr2MNxjUtwdFpFw0+Pbl6prSyUyGQcb7ft0prW
      h8oLvXJWWFg4e/bs6dOnT506NTIysr29ve/AwMhxkVMEJlR+4cxvudhmFZg3cSm5xJ0kOy6vPiMt
      b4Zy95/Gdp4riOqjAj2OE7enHyCeooGfEEQPkjRkZeowUMhRgeUPVzEB9jzuemjsJUZMC68A/Axc
      RZqQIyG3SUMdguim7sLNq8fQwgih1WQUdWtkjPmVLXj+/MrTwr2NcAbIYmg1+6UVuZ4O4peu2sbL
      32YdSc49riqUnL14rbenE3V08nIUdcjoLALlDuFFcGjwcnhnslz5Anr2PMrX4bFor422RotbBJDB
      J9yUlkbBdZDI2YUWzVknmPbslINDeADcbpG3FHmd7shdzg/0cl/lExa1M2Ld+oC0srN30FWIr6/W
      FIriE7ZtMHXcKWu5R/ws93Xbmnz0lvIcoqe1WiHiJGzzNHWMzDt9myp8Ba26utrIyCg2Nvbp02d8
      tXbklDNj+s1b7QcbLt2+075sC/nNAOXAKSX3eELOMQiuCds5awWqRIE6OA1/zv6H9+/BWb27IhXM
      aAosKeQaz1190vUId/lyfdbrc3e/MW/36/oxena8MxevaQoscTr8bWhK9cMH9+Oyj76zLFndkWoS
      Xg1OEsQmy8gXSZLVxWYdgbdQH1T90o5c5532fyvnmF5lGqqq3qdPOsijPZ06IQdhxCPY+8JZaOie
      hcDv8zXk2gYYoI7CKS30ksBBkbSoQYX+QP1ZDgNMQnhhxBLWQYoF68X9gWW/8Edcwcw31yIwHxOS
      7sht9HIP3pWSlJBcdrZdyVvP1aNp8RGR0TGc5Ih1nomlZ+8RP+ZvCkjJV9LV03okNW5bZHSs8mjS
      vpZXFzlYeXl5Zyfp41VtMIElvFxaQX20oHa2M38KuUbNReKENI+MLZX5Hrakz3m2L0Ad+PSP369n
      m87IG4RLMXq53cJaeB6e/ISWwJISrgDSAjj7sa/TAg+eB084an4s2P6jQcwb82L+bBiLq8GL0Gr2
      awDkujoeIOX9hncwRlirKpQcPXUZR4eAHIQOwGOBH6g/OPzNy/nKkHEh62P8RIM6eElaIU24Jlha
      5pe3IqAAsavqKTgE5NAHCF8RW2L+63+Afg0msHzmnxm4luvtvDvvEva6ysK3cvKb7pLI+SVIT5Fe
      7lqO1+qYAvITZmdJWGCCXFn4+zLtyFFCwjNmMYfi6kObdEAyw46nWkGLcC45jtXKKeEQrkYtn3hE
      lUZwawI5+3GXoKRKjuTYzj2H5rmKmrQiB2FMkgsnmu/CKNSf6cCDf8ONYkS18ZKjybl1nyD6HbKX
      Q2DpF1/xJ4MYJG9v6O/+68I4zExoNTCdLKvD0aEhpy4KiVlOGXBx1sEKEx+pci2RXk0nGXmKbUIK
      kRbOdhbOsOUBYMCGvjFwz7IILLAKIr+Pv2/N0DRakbsgdPWMyjj2k/IPfXb7RGJYgF/IN99lcnwt
      V+3Kb75LtIldPKKFylWWW3WcEH+/0H9+lxm/ydJpl7xpZCLXL/SCoZuIX3Ry3TfFYG/ACXRAqSLn
      HlkSmlIVlFQVlXkoJKUa1PnFVSB5adK8Yvk8AnJ6dunp5NI98kAyFUQuh4d5DuR6OsNSq0HaqvDC
      2Oy65X65f19OPjQqkF8IlBVeCHIINr7ylAAPZHHL/PI/Xc3vDzWHJnQkokdjrxybEIVFgBw7hm5k
      HGviI7MOJr9GGLhlISGkxZyUtCJ3p3lvae2pa7S/VnDjuIL/7Tf/5MqLcgsbr9zsJO63FJccaf5J
      uVLSe72ugDyahqOKxis3fn8f8nRFTt9FCM+wZlsR1QVKB8gcWA5GFHKNZ8nA8tYdalHntwyIIB6b
      +cpOtPzrZSAHIceZaJ4ULz7a1fGQm1dPpoJasx5m5MYsScgsbCB6u0EUvNxrejsyFA2oEJJc9fq8
      3QDsjwZKLwfkiO7w1BrUV72orkKjL/aRIn9b7p+PYO+T1ZnKQno1XYX++8g+Y75HtrlfPkgmv/6F
      FVltlS/ZJJtDrtkw8wZpRY41BtMROXJCRHpmQK5PkqNzWxq5joKojLZ8MkhRyMGPwXlu+rYcAR5c
      HKVoweHt6QcwDE6efYm/PgF1AGnnnoMfrCSJoh2liRm58WaJO9IPkKka0VN1/EJQYiWmEEwY2N/B
      O4BXwhb5KI7evXt3fVQJ6qteVFdh6M9ZK5zvno1HIZcinzvS6BcVtMBnwsUhzlywXqzvIkL3oByp
      o2pNVbHI6Wo6IYepEL18qfW65a9fC1Lz6vcePJdXedrAVTTgkFUXkEMa0vbTTdHeRoSUcAwIKfuU
      XIUoDC6ovf3fX3u9xN9Ykr7abFDf0JmRm2rJXeCRFZl5KKukMae8uejAGXFZ0x5FA/YVNWfk1S3Y
      ogRHQ5OrlTPT80KCbkCuhe3zOzd1oSHQK5iKSCmXT2gVaGKR09WGgNzlqzesAvMmLUtGSf+PP3Bo
      CIEl+vdD2zRwhYGqqCbHJ00YrnsKGz7X5QP3yxMzcnhtPNyEpQP8CBVHMUthEA+hmf6TxSKnq+ma
      yyGqjxcfM1qf/QJ/cgluNQ7XJYnkaiTuq3bW8IsZuREuFjldTSfkKGFC//1N1oMRixyDGJHr6X5F
      f6c1HKbl3z5hRROLHINoyP3FSpguLuu693PXo7us1NXdcffC2SYj9l/4GpxY5BhEQ+5vNiL/GDlP
      si9BUMJKXUmCktSsfXNdBJMt01nkBhSLHINoyI11JLP8d5alvLOclSalTrPmTbPhscgNKBY5Bqki
      5zzf97/Wysc5iFhp11hH8duO4vOjx7PIaReLHINUkftuxvIVxqFOC/xYaZeDkb+9kX/bn99ikdOu
      Z5DbxqsdZRgzYWniCNdoi8zSv06nhg6roekrw6C3VvBoDcsKGmMSP8OW10EhJyhpMfGWrgySj3CZ
      hpUe1l9GG0OsBq/eUaM2eySbh5bQGpYVtCIg33lHSTf1/8ux9pvV1xMWFsTMmax01qxZREQE8ZD9
      LxwGMBY51lgbVmORY421YTSC+H/BeXX2MHFFWQAAAABJRU5ErkJggg==" /&gt;
    </Text>
    <VideoLink/>
    <MoreLink/>
    <MoreText>To add this command to the Quick Access Toolbar, go to File, Options, Quick Access Toolbar and choose Style from the list of commands. Click Add and then OK.</MoreText>
  </HelpItem>
  <HelpItem>
    <Id>Font</Id>
    <Title>Font</Title>
    <Text>Available under:&lt;br&gt;Home tab → Font group</Text>
    <VideoLink/>
    <MoreLink/>
    <MoreText/>
  </HelpItem>
  <HelpItem>
    <Id>FontSize</Id>
    <Title>Font Size</Title>
    <Text>Available under:&lt;br&gt;Home tab → Font group</Text>
    <VideoLink/>
    <MoreLink/>
    <MoreText/>
  </HelpItem>
  <HelpItem>
    <Id>AlignLeft</Id>
    <Title>Alignment</Title>
    <Text>Use the standard Word buttons:&lt;br&gt;Home tab → Paragraph group</Text>
    <VideoLink/>
    <MoreLink/>
    <MoreText/>
  </HelpItem>
  <HelpItem>
    <Id>AlignRight</Id>
    <Title>Alignment</Title>
    <Text>Use the standard Word buttons:&lt;br&gt;Home tab → Paragraph group</Text>
    <VideoLink/>
    <MoreLink/>
    <MoreText/>
  </HelpItem>
  <HelpItem>
    <Id>AlignCenter</Id>
    <Title>Alignment</Title>
    <Text>Use the standard Word buttons:&lt;br&gt;Home tab → Paragraph group</Text>
    <VideoLink/>
    <MoreLink/>
    <MoreText/>
  </HelpItem>
  <HelpItem>
    <Id>AlignJustify</Id>
    <Title>Alignment</Title>
    <Text>Use the standard Word buttons:&lt;br&gt;Home tab → Paragraph group</Text>
    <VideoLink/>
    <MoreLink/>
    <MoreText/>
  </HelpItem>
  <HelpItem>
    <Id>Bold</Id>
    <Title>Emphasis (Bold, Italic)</Title>
    <Text>Use the standard Word buttons:&lt;br&gt;Home tab → Font group</Text>
    <VideoLink/>
    <MoreLink/>
    <MoreText/>
  </HelpItem>
  <HelpItem>
    <Id>Italic</Id>
    <Title>Emphasis (Bold, Italic)</Title>
    <Text>Use the standard Word buttons:&lt;br&gt;Home tab → Font group</Text>
    <VideoLink/>
    <MoreLink/>
    <MoreText/>
  </HelpItem>
  <HelpItem>
    <Id>ParagraphMarks</Id>
    <Title>Show/Hide</Title>
    <Text>Use the standard Word button:&lt;br&gt;Home tab → Paragraph group</Text>
    <VideoLink/>
    <MoreLink/>
    <MoreText/>
  </HelpItem>
  <HelpItem>
    <Id>FilePrintPreview</Id>
    <Title>Print Preview</Title>
    <Text>&lt;b Style='Color:red'&gt;Obsolete&lt;/b&gt;&lt;br&gt;In AE2007, this button was used to update paragraph numbering. There is no equivalent in O.N.E Author : paragraph numbering will update automatically.&lt;br&gt;</Text>
    <VideoLink/>
    <MoreLink/>
    <MoreText>If you would actually like to view a print preview of your document, use the standard Word functionality File tab → Print</MoreText>
  </HelpItem>
  <HelpItem>
    <Id>TextFromFileInsert</Id>
    <Title>Insert Text from File</Title>
    <Text>Insert tab → Text group → click on the arrow next to the Object button → Text from File → browse to the relevant file → Insert</Text>
    <VideoLink/>
    <MoreLink/>
    <MoreText/>
  </HelpItem>
</HelpItems>
</file>

<file path=customXml/item4.xml><?xml version="1.0" encoding="utf-8"?>
<ValidationMessages xmlns="http://www.oecd.org/one.check/2016/validation/messages" Version="1.80.1.0">
  <!-- Cover Page Augmentation Errors -->
  <ValidationMessage>
    <Id>1</Id>
    <Code>InvalidCoverPage</Code>
    <Title>The cover page is invalid.</Title>
    <Text>Please reinsert the cover page. Go to the Insert tab, Cover Page and choose an appropriate OECD cover page. Note: any information in the Meeting Information, Information Note and Contacts fields will not be kept. We recommend copying any text present in these fields and pasting it into Notepad.</Text>
  </ValidationMessage>
  <ValidationMessage>
    <Id>2</Id>
    <Code>IncompatibleCoteClassification</Code>
    <Title>The document classification is not compatible with the document cote.</Title>
    <Text>Please modify either the classification or cote via the cover page.</Text>
  </ValidationMessage>
  <ValidationMessage>
    <Id>3</Id>
    <Code>MandatoryLanguage</Code>
    <Title>Document language is mandatory.</Title>
    <Text>Please go to the cover page and choose the document language.</Text>
  </ValidationMessage>
  <ValidationMessage>
    <Id>4</Id>
    <Code>MandatoryCote</Code>
    <Title>Document cote is mandatory.</Title>
    <Text>Please go to the cover page and enter a cote for your document.</Text>
  </ValidationMessage>
  <ValidationMessage>
    <Id>5</Id>
    <Code>CoteHasInvalidSuffix</Code>
    <Title>Cote validation error.</Title>
    <Text>Cote contains an invalid suffix.</Text>
  </ValidationMessage>
  <ValidationMessage>
    <Id>6</Id>
    <Code>IncompleteCoverPage</Code>
    <Title>Some fields are missing on the cover page.</Title>
    <Text><![CDATA[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ValidationMessage>
    <Id>7</Id>
    <Code>MandatoryClassification</Code>
    <Title>Classification is mandatory.</Title>
    <Text>Please go to the cover page and choose the appropriate classification for your document.</Text>
  </ValidationMessage>
  <!-- Cover Page Check Errors -->
  <ValidationMessage>
    <Id>8</Id>
    <Code>InvalidClassificationLanguage</Code>
    <Title>The document classification does not match the document language.</Title>
    <Text>Please go to the cover page and select an appropriate classification for the language of your document.</Text>
  </ValidationMessage>
  <ValidationMessage>
    <Id>9</Id>
    <Code>MandatoryTitle</Code>
    <Title>Document title is mandatory.</Title>
    <Text><![CDATA[Please enter a title in the Title field on the cover page. If you already see your title, you have probably accidentally overwritten the Title field. In this case, please follow the instructions below. <br/><br/>Please reinsert the cover page <b>without</b> removing the existing cover page. Go to the Insert tab, Cover Page and choose an appropriate OECD cover page. <br/><br/> Note: any information in the Meeting Information, Information Note and Contacts fields will not be kept. We therefore recommend taking a copy of any text present in those fields <b>before</b> reinserting the cover page. When you paste the text back into the cover page fields, it is important to choose the "Paste Text Only" option. See the tip <a href='https://community.oecd.org/thread/22737' target='_blank'>here</a>.]]></Text>
  </ValidationMessage>
  <!-- Cote Errors -->
  <ValidationMessage>
    <Id>12</Id>
    <Code>CoteInFuture</Code>
    <Title>An invalid cote has been found.</Title>
    <Text>The year of a document cote cannot be more than 3 years in the future.</Text>
  </ValidationMessage>
  <ValidationMessage>
    <Id>13</Id>
    <Code>CoteNotInOlis</Code>
    <Title>A hyperlink has been created for a document cote that does not yet exist on O.N.E.</Title>
    <Text><![CDATA[Please verify the cote and <a href='https://support.office.com/en-US/article/Remove-or-turn-off-hyperlinks-027b4e8c-38f8-432c-b57f-6c8b67ebe3b0' target='_blank'>remove the hyperlink </a> if appropriate. If you leave the link it will be functional once that document cote becomes available on O.N.E&nbsp;Search.]]></Text>
  </ValidationMessage>
  <ValidationMessage>
    <Id>14</Id>
    <Code>CoteNotValid</Code>
    <Title>An invalid cote has been found in the document.</Title>
    <Text>{0}</Text>
  </ValidationMessage>
  <ValidationMessage>
    <Id>15</Id>
    <Code>CoteInvalidButInOlis</Code>
    <Title>A hyperlink has been created for a document cote that is no longer valid.</Title>
    <Text>Typically this means that the particular cote syntax existed in the past. The hyperlink will still go to the corresponding document.</Text>
  </ValidationMessage>
  <!-- Structural Checks -->
  <ValidationMessage>
    <Id>16</Id>
    <Code>HeadingLevelInvalid</Code>
    <Title>Heading styles must follow a logical order and start with Heading 1.</Title>
    <Text>It is important to use heading styles in a logical order without skipping levels to avoid errors in the numbering or subsequent back-office publishing processes.</Text>
  </ValidationMessage>
  <ValidationMessage>
    <Id>161</Id>
    <Code>TitleLevelInvalid</Code>
    <Title>Title styles must follow a logical order and start with Title 1.</Title>
    <Text>It is important to use title styles in a logical order without skipping levels to avoid errors in the numbering or subsequent back-office publishing processes.</Text>
  </ValidationMessage>
  <ValidationMessage>
    <Id>17</Id>
    <Code>ExceutiveSummaryMissing</Code>
    <Title>You do not have an Executive Summary in your publication.</Title>
    <Text>All OECD publications must contain an Executive Summary. The "Title" style should be used for the title of your Executive Summary.</Text>
  </ValidationMessage>
  <ValidationMessage>
    <Id>18</Id>
    <Code>InvalidPart</Code>
    <Title>There should be no content between a part and a chapter.</Title>
    <Text>Any content placed between a part and a chapter will be ignored in subsequent publishing processes.”</Text>
  </ValidationMessage>
  <ValidationMessage>
    <Id>19</Id>
    <Code>MandatoryCaptionStyle</Code>
    <Title>The "Caption" style must be used for a {0} title.</Title>
    <Text><![CDATA[This makes numbering automatic and allows you to generate a table of figures and insert <a href='https://support.office.com/en-US/article/Create-a-cross-reference-300b208c-e45a-487a-880b-a02767d9774b' target='_blank'>cross-references</a>. Publishing processes also rely on the use of the "Caption" style. Tip: The "Caption" style will be inserted automatically if you insert your figure via Quick Parts!]]></Text>
  </ValidationMessage>
  <ValidationMessage>
    <Id>20</Id>
    <Code>NoCrossReference</Code>
    <Title>No cross-references have been used in this document.</Title>
    <Text><![CDATA[You can read about the benefits of using cross-references <a href='https://support.office.com/en-US/article/Create-a-cross-reference-300b208c-e45a-487a-880b-a02767d9774b' target='_blank'>here</a>.]]></Text>
  </ValidationMessage>
  <!-- Formatting Checks -->
  <ValidationMessage>
    <Id>21</Id>
    <Code>StyleNotInTemplate</Code>
    <Title><![CDATA[Please use the O.N.E&nbsp;Author styles]]></Title>
    <Text><![CDATA[An incorrect style has been identified:<br><font color='darkred'>{0}</font><br>Please correct this by applying the appropriate O.N.E&nbsp;Author style. Consult the style cheat sheet in the <a href='https://community.oecd.org/docs/DOC-126051' target='_blank'>Quick Reference Guide</a>.<br>You can also use Word’s find and replace feature to look for all instances of a particular style and replace it with another: see <a href='https://community.oecd.org/thread/22785' target='_blank'>tip</a>.]]></Text>
  </ValidationMessage>
  <ValidationMessage>
    <Id>22</Id>
    <Code>FormatNotA4</Code>
    <Title>The paper size must be set to A4.</Title>
    <Text><![CDATA[If the paper size is not set to A4 it can generate errors when printing paper copies. See <a href='https://support.office.com/en-IE/article/Page-Setup-Paper-options-369f13ef-3137-42d3-a077-3f3291eb4657' target='_blank'>here</a> for details on how to change this setting.]]></Text>
  </ValidationMessage>
  <!--Document Submit Errors-->
  <ValidationMessage>
    <Id>231</Id>
    <Code>DocumentPdfExportError</Code>
    <Title>Pdf could not be generated.</Title>
    <Text>The Pdf export of the document could not be done. You will not be able to submit the document.</Text>
  </ValidationMessage>
  <ValidationMessage>
    <Id>23</Id>
    <Code>SubmitErrorHasComments</Code>
    <Title>Your document contains comments.</Title>
    <Text><![CDATA[It is not possible to submit a document containing comments. Please return to your document and <a href='https://support.office.com/en-US/article/Insert-or-delete-a-comment-8D3F868A-867E-4DF2-8C68-BF96671641E2#bm2' target='_blank'>delete all comments </a> before submitting.]]></Text>
  </ValidationMessage>
  <ValidationMessage>
    <Id>24</Id>
    <Code>SubmitInfoTrackChanges</Code>
    <Title>This document contains track changes.</Title>
    <Text>Track changes are accepted in documents with “/REV”, “/RD”, or “/WD” in the cote.</Text>
  </ValidationMessage>
  <ValidationMessage>
    <Id>25</Id>
    <Code>SubmitErrorTrackChangesOfficialDocument</Code>
    <Title>This document contains track changes.</Title>
    <Text>Track changes are only accepted in documents with “/REV”, “/RD”, or “/WD” in the cote. Please accept or reject all changes before submitting your document.</Text>
  </ValidationMessage>
  <ValidationMessage>
    <Id>26</Id>
    <Code>SubmitErrorTrackChangesPublication</Code>
    <Title>This document contains track changes.</Title>
    <Text>Track changes are not allowed in a Publication..</Text>
  </ValidationMessage>
  <ValidationMessage>
    <Id>27</Id>
    <Code>SubmitErrorExternalObjects</Code>
    <Title>It is not possible to submit a document containing links to external source files e.g. Excel files or images.</Title>
    <Text>To break the links go to File, Info, "Edit Links to Files" located at the bottom right corner of the screen, select relevant links and click Break Link. This will avoid issues at a later stage during printing or publishing processes.</Text>
  </ValidationMessage>
  <!-- General Errors -->
  <ValidationMessage>
    <Id>28</Id>
    <Code>Default</Code>
    <Title>Element not validated.</Title>
    <Text>(Default anomaly)</Text>
  </ValidationMessage>
  <ValidationMessage>
    <Id>29</Id>
    <Code>Offline</Code>
    <Title>You are not connected to an internal network i.e. OECD/IEA/NEA/ITF.</Title>
    <Text>Only a partial validation of your document will be performed. Please rerun the document validation once you are connected to the appropriate  OECD network.</Text>
  </ValidationMessage>
  <ValidationMessage>
    <Id>30</Id>
    <Code>ServiceUnavailable</Code>
    <Title>{0} cannot be executed due to the unavailability of an external web service.</Title>
    <Text><![CDATA[Unfortunately, it is not possible to run the document validation right now. Please contact the <a href='mailto:ServiceDesk@oecd.org?subject=O.N.E%20Author%20issue'>Service&nbsp;Desk</a>.]]></Text>
  </ValidationMessage>
  <ValidationMessage>
    <Id>31</Id>
    <Code>InvalidTemplate</Code>
    <Title>It is not possible to run the validation function.</Title>
    <Text><![CDATA[The validation function is only available when working in a O.N.E&nbsp;Author document.]]></Text>
  </ValidationMessage>
  <ValidationMessage>
    <Id>32</Id>
    <Code>Document Save Error</Code>
    <Title>An error occurred while attempting to save the document.</Title>
    <Text><![CDATA[The document cannot be saved right now. Please contact the <a href='mailto:ServiceDesk@oecd.org?subject=O.N.E%20Author%20issue'>Service&nbsp;Desk</a>.]]></Text>
  </ValidationMessage>
  <!-- Document Updates -->
  <ValidationMessage>
    <Id>33</Id>
    <Code>TableOfContentsUpdated</Code>
    <Title>{0} table(s) of Contents have been updated.</Title>
    <Text>The tables of Contents present in your document have been automatically updated during the validation process.</Text>
  </ValidationMessage>
  <ValidationMessage>
    <Id>34</Id>
    <Code>FieldsUpdated</Code>
    <Title>{0} document Field(s) have been updated.</Title>
    <Text>The document Fields present in your document have been automatically updated during the validation process.</Text>
  </ValidationMessage>
  <ValidationMessage>
    <Id>35</Id>
    <Code>TableOfFiguresUpdated</Code>
    <Title>{0} table(s) of Figures have been updated.</Title>
    <Text>The tables of Figures (Tables, Figures, Boxes) present in your document have been automatically updated during the validation process.</Text>
  </ValidationMessage>
  <!-- Document Process Error -->
  <ValidationMessage>
    <Id>36</Id>
    <Code>CoverPageUpdateError</Code>
    <Title>An error occurred while attempting to update the cover page.</Title>
    <Text><![CDATA[Unfortunately the cover page of your document cannot be updated right now. Please contact the <a href='mailto:ServiceDesk@oecd.org?subject=O.N.E%20Author%20issue'>Service&nbsp;Desk</a>.]]></Text>
  </ValidationMessage>
  <ValidationMessage>
    <Id>37</Id>
    <Code>DocumentUpdateError</Code>
    <Title>An error occurred while attempting to update the document.</Title>
    <Text><![CDATA[Unfortunately your document cannot be updated (TOC and document fields) right now. Please contact the <a href='mailto:ServiceDesk@oecd.org?subject=O.N.E%20Author%20issue'>Service&nbsp;Desk</a>.]]></Text>
  </ValidationMessage>
  <ValidationMessage>
    <Id>38</Id>
    <Code>DocumentCotesUpdateError</Code>
    <Title>An error occurred while attempting to update the cotes of the document.</Title>
    <Text><![CDATA[Unfortunately the cotes present in your document cannot be updated right now. Please contact the <a href='mailto:ServiceDesk@oecd.org?subject=O.N.E%20Author%20issue'>Service&nbsp;Desk</a>.]]></Text>
  </ValidationMessage>
  <ValidationMessage>
    <Id>39</Id>
    <Code>CoverPageValidationError</Code>
    <Title>An error occurred while attempting to update the cover page of the document.</Title>
    &amp;body={0}
    <Text><![CDATA[Unfortunately the cover page of your document cannot be validated right now. Please contact the <a href='mailto:ServiceDesk@oecd.org?subject=O.N.E%20Author%20issue'>Service&nbsp;Desk</a>.]]></Text>
  </ValidationMessage>
  <ValidationMessage>
    <Id>40</Id>
    <Code>DocumentValidationError</Code>
    <Title>An error occurred while attempting to validate the document.</Title>
    <Text><![CDATA[Unfortunately your document cannot be validated right now. Please contact the <a href='mailto:ServiceDesk@oecd.org?subject=O.N.E%20Author%20issue'>Service&nbsp;Desk</a>.]]></Text>
  </ValidationMessage>
  <ValidationMessage>
    <Id>41</Id>
    <Code>DocumentProcessingError</Code>
    <Title>An error occurred while attempting to process the document.</Title>
    <Text><![CDATA[Unfortunately your document cannot be processed right now. Please contact the <a href='mailto:ServiceDesk@oecd.org?subject=O.N.E%20Author%20issue'>Service&nbsp;Desk</a>.]]></Text>
  </ValidationMessage>
  <ValidationMessage>
    <Id>42</Id>
    <Code>ErrorDocumentIsAlreadySubmitted</Code>
    <Title>Document is already submitted.</Title>
    <Text>This document has already been submitted. Please revalidate the cote and language.</Text>
  </ValidationMessage>
  <ValidationMessage>
    <Id>43</Id>
    <Code>ErrorDocumentSubmission</Code>
    <Title>Document submission error.</Title>
    <Text>Unable to submit document. Error: {0}</Text>
  </ValidationMessage>
  <ValidationMessage>
    <Id>44</Id>
    <Code>CoteFormatInvalid</Code>
    <Title>Incorrect cote format or not a cote.</Title>
    <Text>Typically this means that the particular cote syntax existed in the past. The hyperlink will still go to the corresponding document.</Text>
  </ValidationMessage>
  <ValidationMessage>
    <Id>45</Id>
    <Code>CoteInvalidMatchLinkAndText</Code>
    <Title>Cote link text does not match link address.</Title>
    <Text>Typically this means that link address is correct, but the cote syntax is incorrect.</Text>
  </ValidationMessage>
  <!-- transformation messages -->
  <ValidationMessage>
    <Id>46</Id>
    <Code>TransformationMsg</Code>
    <Title>Info</Title>
    <Text>(Default anomaly)</Text>
  </ValidationMessage>
  <ValidationMessage>
    <Id>47</Id>
    <Code>TransformationErrorDocumentNull</Code>
    <Title>Document transformation error</Title>
    <Text>An internal error occurred: the document is null.</Text>
  </ValidationMessage>
  <ValidationMessage>
    <Id>48</Id>
    <Code>TransformationErrorDocumentLanguage</Code>
    <Title>Document transformation error</Title>
    <Text>Sorry, your current document language is not handled.</Text>
  </ValidationMessage>
  <ValidationMessage>
    <Id>49</Id>
    <Code>TransformationErrorSaveDocument</Code>
    <Title>Document transformation error</Title>
    <Text>Could not save a copy of the document in the target language.</Text>
  </ValidationMessage>
  <ValidationMessage>
    <Id>50</Id>
    <Code>TransformationErrorCoverPageLanguage</Code>
    <Title>Document transformation error</Title>
    <Text>Failed to set the document cover page language.</Text>
  </ValidationMessage>
  <ValidationMessage>
    <Id>51</Id>
    <Code>TransformationErrorCoverPageClassification</Code>
    <Title>Document transformation error</Title>
    <Text>Failed to set the document cover page classification.</Text>
  </ValidationMessage>
  <ValidationMessage>
    <Id>52</Id>
    <Code>TransformationErrorDocumentContentLanguage</Code>
    <Title>Document transformation error</Title>
    <Text>Failed to set the document content language.</Text>
  </ValidationMessage>
  <ValidationMessage>
    <Id>53</Id>
    <Code>TranslationFields</Code>
    <Title>Translation: fields</Title>
    <Text>(Default anomaly)</Text>
  </ValidationMessage>
  <ValidationMessage>
    <Id>54</Id>
    <Code>TranslationContentControls</Code>
    <Title>Translation: content controls</Title>
    <Text>(Default anomaly)</Text>
  </ValidationMessage>
  <ValidationMessage>
    <Id>55</Id>
    <Code>TranslationTitles</Code>
    <Title>Translation: titles</Title>
    <Text>(Default anomaly)</Text>
  </ValidationMessage>
  <ValidationMessage>
    <Id>56</Id>
    <Code>TranslationLists</Code>
    <Title>Translation: multi-level lists</Title>
    <Text>(Default anomaly)</Text>
  </ValidationMessage>
  <ValidationMessage>
    <Id>57</Id>
    <Code>TranslationBibliography</Code>
    <Title>Document transformation, bibliography translation</Title>
    <Text>Either no bibliography sources found or invalid target language specified.</Text>
  </ValidationMessage>
  <ValidationMessage>
    <Id>58</Id>
    <Code>TranslationText</Code>
    <Title>Translation: text</Title>
    <Text>(Default anomaly)</Text>
  </ValidationMessage>
  <ValidationMessage>
    <Id>59</Id>
    <Code>TranslationBibliographyResults</Code>
    <Title>Document transformation, bibliography translation</Title>
    <Text>
      {0} external citations have been found and cannot be translated.&lt;br&gt;
      {1} OECD citations have been found and {2} have been translated.
    </Text>
  </ValidationMessage>
  <!-- cote enrichment messages -->
  <ValidationMessage>
    <Id>60</Id>
    <Code>FcRootCoteInvalid</Code>
    <Title>Cote validation error.</Title>
    <Text>Root cote does not exists.</Text>
  </ValidationMessage>
  <ValidationMessage>
    <Id>61</Id>
    <Code>FcCoteSyntaxInvalid_Empty</Code>
    <Title>Document cote is mandatory.</Title>
    <Text>Please go to the cover page and enter a cote for your document.</Text>
  </ValidationMessage>
  <ValidationMessage>
    <Id>62</Id>
    <Code>FcCoteSyntaxInvalid_EmptySuffix</Code>
    <Title>Document cote is invalid.</Title>
    <Text>Please go to the cover page and enter a valid cote for your document. Information on what constitutes a valid cote can be found here.</Text>
  </ValidationMessage>
  <ValidationMessage>
    <Id>63</Id>
    <Code>FcCoteSyntaxInvalid_InvalidSubstring</Code>
    <Title>Cote validation error.</Title>
    <Text>Cote contains an invalid substring -- "//", "((", "))", "/(", ")/", ".", or "-".</Text>
  </ValidationMessage>
  <ValidationMessage>
    <Id>64</Id>
    <Code>FcCoteSyntaxInvalid_LowerCase</Code>
    <Title>Cote validation error.</Title>
    <Text>Cote contains lower case letters.</Text>
  </ValidationMessage>
  <ValidationMessage>
    <Id>65</Id>
    <Code>FcCoteSyntaxInvalid_NotEnoughParts</Code>
    <Title>Cote validation error.</Title>
    <Text>Cote is too short. It must contain a root, a year in parentheses and a serial number.</Text>
  </ValidationMessage>
  <ValidationMessage>
    <Id>66</Id>
    <Code>FcCoteSyntaxInvalid_NumberInvalidInt</Code>
    <Title>Cote validation error.</Title>
    <Text>Cote serial number is not a single, valid integer.</Text>
  </ValidationMessage>
  <ValidationMessage>
    <Id>67</Id>
    <Code>FcCoteSyntaxInvalid_NumberTooSmall</Code>
    <Title>Cote validation error.</Title>
    <Text>Cote serial number must be greater than 0.</Text>
  </ValidationMessage>
  <ValidationMessage>
    <Id>68</Id>
    <Code>FcCoteSyntaxInvalid_TrailingSlash</Code>
    <Title>Cote validation error.</Title>
    <Text>Cote ends with a slash.</Text>
  </ValidationMessage>
  <ValidationMessage>
    <Id>69</Id>
    <Code>FcCoteSyntaxInvalid_YearDigitCount</Code>
    <Title>Cote validation error.</Title>
    <Text>Years before 2000 must be written with 2 digits, and years from 2000 on with all 4 digits.</Text>
  </ValidationMessage>
  <ValidationMessage>
    <Id>70</Id>
    <Code>FcCoteSyntaxInvalid_YearInvalidInt</Code>
    <Title>Cote validation error.</Title>
    <Text>Cote year is not a valid integer.</Text>
  </ValidationMessage>
  <ValidationMessage>
    <Id>71</Id>
    <Code>FcCoteSyntaxInvalid_YearTooEarly</Code>
    <Title>Cote validation error.</Title>
    <Text>Cote year is before 1990. These documents are not available on OLIS.</Text>
  </ValidationMessage>
  <ValidationMessage>
    <Id>72</Id>
    <Code>FcCoteSyntaxInvalid_YearTooEarlySubmission</Code>
    <Title>Cote validation error.</Title>
    <Text>Documents cannot be submitted with a cote year more than 1 year in the future.</Text>
  </ValidationMessage>
  <ValidationMessage>
    <Id>73</Id>
    <Code>FcCoteValidationError</Code>
    <Title>Cote validation error.</Title>
    <Text>The cote you have entered is not valid. The error returned from the server is: {0}</Text>
  </ValidationMessage>
  <!-- end of cote enrichment messages -->
  <ValidationMessage>
    <Id>75</Id>
    <Code>DocumentSaveError</Code>
    <Title>Please save your document.</Title>
    <Text>Please save your document before running the document validation.</Text>
  </ValidationMessage>
  <ValidationMessage>
    <Id>76</Id>
    <Code>ValidationInternalError</Code>
    <Title>Validation internal error</Title>
    <Text>An internal error occurred while running validation</Text>
  </ValidationMessage>
  <ValidationMessage>
    <Id>77</Id>
    <Code>TransformationErrorSetDisclaimer</Code>
    <Title>Document transformation error</Title>
    <Text>Failed to set the document disclaimer language.</Text>
  </ValidationMessage>
  <ValidationMessage>
    <Id>78</Id>
    <Code>SubmitErrorServiceUnavailable</Code>
    <Title>Document submission is not possible currently</Title>
    <Text>Document submission is not possible at moment as service are not available.</Text>
  </ValidationMessage>
  <ValidationMessage>
    <Id>79</Id>
    <Code>TransformationErrorCoverPageOrgName</Code>
    <Title>Document transformation error</Title>
    <Text>Failed to set the document cover page organization name.</Text>
  </ValidationMessage>
  <ValidationMessage>
    <Id>80</Id>
    <Code>TransformationErrorCoverPageLogo</Code>
    <Title>Document transformation error</Title>
    <Text>Failed to replace the document cover page logo.</Text>
  </ValidationMessage>
  <ValidationMessage>
    <Id>81</Id>
    <Code>CoteContainsSummaryRecordsOrAgendaPrefix</Code>
    <Title>Document code corresponds to an agenda [../A] or summary records [../M]</Title>
    <Text><![CDATA[Please correct the document code on the cover page or use the dedicated O.N.E&nbsp;Author Agenda/Summary Records template.]]></Text>
  </ValidationMessage>
  <ValidationMessage>
    <Id>82</Id>
    <Code>CoteDoesNotContainSummaryRecordsOrAgendaPrefix</Code>
    <Title>Document code does not correspond to an agenda [../A] or summary records [../M]</Title>
    <Text>Please correct the document code on the cover page.</Text>
  </ValidationMessage>
  <ValidationMessage>
    <Id>83</Id>
    <Code>FrontMatterHeadingHierarchyInvalid</Code>
    <Title>The front matter (preliminary pages) of your document does not respect the OECD Style Guide</Title>
    <Text><![CDATA[All OECD publications must contain an Executive Summary and a Foreword title. Please make sure that you’ve used the style Title for these sections. If this is the case in your document, the error is probably due to the order of your front matter: you can check the correct order <a href='https://community.oecd.org/docs/DOC-126051' target='_blank'>here</a> .]]></Text>
  </ValidationMessage>
  <ValidationMessage>
    <Id>84</Id>
    <Code>FcCoteSyntaxInvalid_YearTooEarlyReference</Code>
    <Title>An invalid cote has been found.</Title>
    <Text>The year of a document cote cannot be more than 3 years in the future.</Text>
  </ValidationMessage>
  <ValidationMessage>
    <Id>85</Id>
    <Code>TransformationErrorUnableToOpen</Code>
    <Title>Document transformation error</Title>
    <Text>Unable to open source document. An internal error occurred: the document is null.</Text>
  </ValidationMessage>
  <ValidationMessage>
    <Id>86</Id>
    <Code>AEImportErrorImportNotSupported</Code>
    <Title>AE document import error</Title>
    <Text>This is not document created by AE. Import of the document is not supported</Text>
  </ValidationMessage>
  <ValidationMessage>
    <Id>87</Id>
    <Code>AEImportErrorCleanUpFailed</Code>
    <Title>AE document import error</Title>
    <Text>AE document preparation failed</Text>
  </ValidationMessage>
  <ValidationMessage>
    <Id>88</Id>
    <Code>AEImportPagesCopied</Code>
    <Title>Content copied</Title>
    <Text>{0} pages copied</Text>
  </ValidationMessage>
  <ValidationMessage>
    <Id>89</Id>
    <Code>AEImportCopyFailed</Code>
    <Title>Failed to copy a document part</Title>
    <Text>Please review and copy content manually</Text>
  </ValidationMessage>
  <ValidationMessage>
    <Id>90</Id>
    <Code>TitleTooLong</Code>
    <Title>The document title in the footer has been hidden</Title>
    <Text>This is because it spans more than one line. Where possible, please reduce the length of the document title so that it fits on one line in the footer</Text>
  </ValidationMessage>
  <ValidationMessage>
    <Id>91</Id>
    <Code>AEImportTableOrBoxCopyFailed</Code>
    <Title>Failed to copy a {0}</Title>
    <Text>Please review and copy a {0} manually</Text>
  </ValidationMessage>
  <ValidationMessage>
    <Id>92</Id>
    <Code>MandatoryBilingualTitles</Code>
    <Title>Document title is mandatory in both languages</Title>
    <Text>You have used a bilingual cover page. There are two separate fields for the English and French document titles. Please make sure that both fields are complete. The same applies for the subtitle fields: if the English subtitle field is complete, the French subtitle field must also be complete and vice versa.</Text>
  </ValidationMessage>
  <ValidationMessage>
    <Id>94</Id>
    <Code>AEImportTitleMissing</Code>
    <Title>Failed to detect title</Title>
    <Text>Please review and correct it</Text>
  </ValidationMessage>
  <ValidationMessage>
    <Id>93</Id>
    <Code>HeaderFooterRecoveryFailed</Code>
    <Title><![CDATA[Non O.N.E&nbsp;Author header or footer]]></Title>
    <Text><![CDATA[Non O.N.E&nbsp;Author header or footer was found in document. Automatic recovery failed.]]></Text>
  </ValidationMessage>
  <ValidationMessage>
    <Id>95</Id>
    <Code>AEImportTablePicture</Code>
    <Title>Picture with table title</Title>
    <Text>Please review and correct it</Text>
  </ValidationMessage>
  <ValidationMessage>
    <Id>96</Id>
    <Code>UnclassifiedNoLinks</Code>
    <Title>Document codes (cotes) have not been hyperlinked</Title>
    <Text>This is because the document classification is unclassified.</Text>
  </ValidationMessage>
  <ValidationMessage>
    <Id>97</Id>
    <Code>DocumentNotValid</Code>
    <Title>Document not valid</Title>
    <Text>Document validation failed: {0}</Text>
  </ValidationMessage>
  <ValidationMessage>
    <Id>98</Id>
    <Code>SubmitErrorFileServerUnavailable</Code>
    <Title>Document submission is not possible currently</Title>
    <Text><![CDATA[This may be because the file server required to submit your document is unavailable. Please contact the <a href='mailto:ServiceDesk@oecd.org?subject=O.N.E%20Author%20issue'>Service&nbsp;Desk</a> and ask them to contact the server team to check the following location: {0}.]]></Text>
  </ValidationMessage>
  <ValidationMessage>
    <Id>99</Id>
    <Code>MasterDocumentWarning</Code>
    <Title>Fields have not been updated</Title>
    <Text>Fields (e.g. citations, table/figure/box numbering, cross-references) have not been updated as this is a master document. A master document is intended to aggregate several subdocuments. Changes should be made in the subdocuments.</Text>
  </ValidationMessage>
  <ValidationMessage>
    <Id>100</Id>
    <Code>RerunQualityChecks</Code>
    <Title>Rerun quality checks</Title>
    <Text>There have been changes made to your document. Please rerun the Quality Checks. The Submit your document button will then be available.</Text>
  </ValidationMessage>
  <ValidationMessage>
    <Id>101</Id>
    <Code>DocumentCotesValidationServiceError</Code>
    <Title>Document service error</Title>
    <Text><![CDATA[Due to the unavailability of the service named DLP, it is not possible to submit your document at this moment. Please ensure that your network connection is working. <br/><br/>If the problem persists, please contact the <a href='mailto:ServiceDesk@oecd.org?subject=O.N.E%20Author%20issue'>Service&nbsp;Desk</a>.]]></Text>
  </ValidationMessage>
  <ValidationMessage>
    <Id>102</Id>
    <Code>SrpServiceError</Code>
    <Title>Submission service error</Title>
    <Text><![CDATA[Due to the unavailability of the service named SRP, it is not possible to submit your document at this moment. Please ensure that your network connection is working. <br/><br/>If the problem persists, please contact the <a href='mailto:ServiceDesk@oecd.org?subject=O.N.E%20Author%20issue'>Service&nbsp;Desk</a>.]]></Text>
  </ValidationMessage>
  <ValidationMessage>
    <Id>103</Id>
    <Code>DocumentValidationOnSubmitError</Code>
    <Title>DLP submission error</Title>
    <Text><![CDATA[An error occurred during the document loading process (DLP) in O.N.E members & partners. Unfortunately it is not possible to submit your document at this time.{0}Please rerun the Quality Checks and submit your document again.<br/><br/>If the problem persists, please contact the <a href='mailto:ServiceDesk@oecd.org?subject=O.N.E%20Author%20issue'>Service&nbsp;Desk</a>.]]></Text>
  </ValidationMessage>
  <ValidationMessage>
    <Id>105</Id>
    <Code>CreatedMasterPDF</Code>
    <Title>Master PDFs have been created</Title>
    <Text><![CDATA[The PDF files have been successfully generated by the server. You can use the PDF/O when sharing the file and the PDF/X for high-quality printing.<br><a class='pdflink' href='{1}'>{0}</a><br><a class='pdflink' href='{3}'>{2}</a><br>Location: '{4}']]></Text>
  </ValidationMessage>
  <ValidationMessage>
    <Id>106</Id>
    <Code>MasterPDFCreationFailed</Code>
    <Title>Unable to create master PDF</Title>
    <Text><![CDATA[This probably means that the subdocuments have not been prepared according to the guidance <a href='https://community.oecd.org/docs/DOC-132746'  target='_blank'>here</a>. If you continue to experience difficulties, please contact the <a href='mailto:ServiceDesk@oecd.org?subject=O.N.E%20Author%20issue' >Service&nbsp;Desk</a>.]]></Text>
  </ValidationMessage>
  <ValidationMessage>
    <Id>107</Id>
    <Code>CreatedMasterPDFWord</Code>
    <Title>Master PDF has been created</Title>
    <Text><![CDATA[A PDF file has been successfully generated. However, the server timed out when trying to produce the PDF/X format necessary for high-quality printing. If you require a PDF/X, please try to create the master PDF again.<br><a class='pdflink' href='{1}'>{0}</a><br>Location: '{2}']]></Text>
  </ValidationMessage>
  <ValidationMessage>
    <Id>108</Id>
    <Code>AEImportErrorHyperlinkRemovalFailed</Code>
    <Title>AE document import error</Title>
    <Text>Hyperlinks removal failed</Text>
  </ValidationMessage>
</ValidationMessages>
</file>

<file path=customXml/item5.xml><?xml version="1.0" encoding="utf-8"?>
<b:Sources xmlns:b="http://schemas.openxmlformats.org/officeDocument/2006/bibliography" xmlns="http://schemas.openxmlformats.org/officeDocument/2006/bibliography" SelectedStyle="\oecd-en.xsl" StyleName="OECD English" Version="6"/>
</file>

<file path=customXml/itemProps1.xml><?xml version="1.0" encoding="utf-8"?>
<ds:datastoreItem xmlns:ds="http://schemas.openxmlformats.org/officeDocument/2006/customXml" ds:itemID="{BD165381-FD8A-45A1-99FB-98352A6D234F}">
  <ds:schemaRefs>
    <ds:schemaRef ds:uri="http://www.w3.org/2001/XMLSchema"/>
  </ds:schemaRefs>
</ds:datastoreItem>
</file>

<file path=customXml/itemProps2.xml><?xml version="1.0" encoding="utf-8"?>
<ds:datastoreItem xmlns:ds="http://schemas.openxmlformats.org/officeDocument/2006/customXml" ds:itemID="{742C3618-0149-4C2F-BFBA-B1C1AD287F67}">
  <ds:schemaRefs>
    <ds:schemaRef ds:uri="http://www.oecd.org/one.check/2016/logo"/>
  </ds:schemaRefs>
</ds:datastoreItem>
</file>

<file path=customXml/itemProps3.xml><?xml version="1.0" encoding="utf-8"?>
<ds:datastoreItem xmlns:ds="http://schemas.openxmlformats.org/officeDocument/2006/customXml" ds:itemID="{814A5E87-7910-4042-91F1-8A463025AB6D}">
  <ds:schemaRefs>
    <ds:schemaRef ds:uri="http://www.oecd.org/one.check/2016/help"/>
  </ds:schemaRefs>
</ds:datastoreItem>
</file>

<file path=customXml/itemProps4.xml><?xml version="1.0" encoding="utf-8"?>
<ds:datastoreItem xmlns:ds="http://schemas.openxmlformats.org/officeDocument/2006/customXml" ds:itemID="{DC510B63-A3D7-41B9-AEDF-63E90F3356F3}">
  <ds:schemaRefs>
    <ds:schemaRef ds:uri="http://www.oecd.org/one.check/2016/validation/messages"/>
  </ds:schemaRefs>
</ds:datastoreItem>
</file>

<file path=customXml/itemProps5.xml><?xml version="1.0" encoding="utf-8"?>
<ds:datastoreItem xmlns:ds="http://schemas.openxmlformats.org/officeDocument/2006/customXml" ds:itemID="{7CCCB782-87BD-4B0D-8BFA-AFBEE456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E05781BA.dotm</Template>
  <TotalTime>0</TotalTime>
  <Pages>61</Pages>
  <Words>21795</Words>
  <Characters>125759</Characters>
  <Application>Microsoft Office Word</Application>
  <DocSecurity>0</DocSecurity>
  <Lines>2566</Lines>
  <Paragraphs>928</Paragraphs>
  <ScaleCrop>false</ScaleCrop>
  <Company/>
  <LinksUpToDate>false</LinksUpToDate>
  <CharactersWithSpaces>146626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2018-07-06T15:04:00Z</dcterms:created>
  <dcterms:modified xsi:type="dcterms:W3CDTF">2018-07-06T15:04:00Z</dcterms:modified>
</cp:coreProperties>
</file>